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A96F2A" w14:textId="32767308" w:rsidR="00407963" w:rsidRPr="007920A9" w:rsidRDefault="00B61E83" w:rsidP="00026C12">
      <w:pPr>
        <w:spacing w:after="0"/>
        <w:jc w:val="both"/>
        <w:rPr>
          <w:b/>
          <w:color w:val="595959" w:themeColor="text1" w:themeTint="A6"/>
          <w:sz w:val="96"/>
          <w:szCs w:val="50"/>
        </w:rPr>
      </w:pPr>
      <w:bookmarkStart w:id="0" w:name="_GoBack"/>
      <w:bookmarkEnd w:id="0"/>
      <w:r w:rsidRPr="007920A9">
        <w:rPr>
          <w:b/>
          <w:noProof/>
          <w:color w:val="595959" w:themeColor="text1" w:themeTint="A6"/>
          <w:sz w:val="96"/>
          <w:szCs w:val="50"/>
          <w:lang w:eastAsia="fr-FR"/>
        </w:rPr>
        <w:drawing>
          <wp:anchor distT="0" distB="0" distL="114300" distR="114300" simplePos="0" relativeHeight="251660288" behindDoc="0" locked="0" layoutInCell="1" allowOverlap="1" wp14:anchorId="0DF453DA" wp14:editId="53BB8C49">
            <wp:simplePos x="0" y="0"/>
            <wp:positionH relativeFrom="column">
              <wp:posOffset>-483581</wp:posOffset>
            </wp:positionH>
            <wp:positionV relativeFrom="paragraph">
              <wp:posOffset>0</wp:posOffset>
            </wp:positionV>
            <wp:extent cx="1966589" cy="3857105"/>
            <wp:effectExtent l="0" t="0" r="0" b="0"/>
            <wp:wrapThrough wrapText="bothSides">
              <wp:wrapPolygon edited="0">
                <wp:start x="0" y="0"/>
                <wp:lineTo x="0" y="21444"/>
                <wp:lineTo x="21349" y="21444"/>
                <wp:lineTo x="21349" y="0"/>
                <wp:lineTo x="0" y="0"/>
              </wp:wrapPolygon>
            </wp:wrapThrough>
            <wp:docPr id="2" name="Image 2" descr="C:\Users\steph\AppData\Local\Microsoft\Windows\INetCache\Content.Word\carte-drapeaux-tunis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ph\AppData\Local\Microsoft\Windows\INetCache\Content.Word\carte-drapeaux-tunisi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66589" cy="3857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1A4107" w14:textId="5A7B7203" w:rsidR="00407963" w:rsidRPr="007920A9" w:rsidRDefault="00407963" w:rsidP="00B61E83">
      <w:pPr>
        <w:pStyle w:val="Default"/>
        <w:spacing w:before="240"/>
        <w:ind w:left="3345"/>
        <w:rPr>
          <w:sz w:val="20"/>
          <w:lang w:val="fr-FR"/>
        </w:rPr>
      </w:pPr>
      <w:r w:rsidRPr="007920A9">
        <w:rPr>
          <w:b/>
          <w:color w:val="595959" w:themeColor="text1" w:themeTint="A6"/>
          <w:sz w:val="56"/>
          <w:szCs w:val="50"/>
          <w:lang w:val="fr-FR"/>
        </w:rPr>
        <w:t xml:space="preserve">Etat de Préparation de la </w:t>
      </w:r>
      <w:r w:rsidR="00A22EAA" w:rsidRPr="007920A9">
        <w:rPr>
          <w:b/>
          <w:color w:val="595959" w:themeColor="text1" w:themeTint="A6"/>
          <w:sz w:val="56"/>
          <w:szCs w:val="50"/>
          <w:lang w:val="fr-FR"/>
        </w:rPr>
        <w:t xml:space="preserve">République </w:t>
      </w:r>
      <w:r w:rsidR="00B61E83" w:rsidRPr="007920A9">
        <w:rPr>
          <w:b/>
          <w:color w:val="595959" w:themeColor="text1" w:themeTint="A6"/>
          <w:sz w:val="56"/>
          <w:szCs w:val="50"/>
          <w:lang w:val="fr-FR"/>
        </w:rPr>
        <w:t xml:space="preserve">Tunisienne </w:t>
      </w:r>
      <w:r w:rsidRPr="007920A9">
        <w:rPr>
          <w:b/>
          <w:color w:val="595959" w:themeColor="text1" w:themeTint="A6"/>
          <w:sz w:val="56"/>
          <w:szCs w:val="50"/>
          <w:lang w:val="fr-FR"/>
        </w:rPr>
        <w:t>en vue d’une initiative d’ouverture des données publiques</w:t>
      </w:r>
    </w:p>
    <w:p w14:paraId="633D67CE" w14:textId="77777777" w:rsidR="00407963" w:rsidRPr="007920A9" w:rsidRDefault="00407963" w:rsidP="00026C12">
      <w:pPr>
        <w:pStyle w:val="Default"/>
        <w:jc w:val="both"/>
        <w:rPr>
          <w:color w:val="auto"/>
          <w:lang w:val="fr-FR"/>
        </w:rPr>
      </w:pPr>
    </w:p>
    <w:p w14:paraId="45C447DE" w14:textId="77777777" w:rsidR="00407963" w:rsidRPr="007920A9" w:rsidRDefault="00407963" w:rsidP="00026C12">
      <w:pPr>
        <w:spacing w:after="0" w:line="240" w:lineRule="auto"/>
        <w:jc w:val="both"/>
        <w:rPr>
          <w:b/>
          <w:color w:val="595959" w:themeColor="text1" w:themeTint="A6"/>
          <w:sz w:val="96"/>
          <w:szCs w:val="50"/>
        </w:rPr>
      </w:pPr>
      <w:r w:rsidRPr="007920A9">
        <w:t xml:space="preserve"> </w:t>
      </w:r>
      <w:r w:rsidR="00E8606D">
        <w:rPr>
          <w:b/>
          <w:color w:val="595959" w:themeColor="text1" w:themeTint="A6"/>
          <w:sz w:val="24"/>
          <w:szCs w:val="24"/>
        </w:rPr>
        <w:pict w14:anchorId="7020919E">
          <v:rect id="_x0000_i1025" style="width:469.15pt;height:1.5pt" o:hralign="center" o:hrstd="t" o:hrnoshade="t" o:hr="t" fillcolor="#00b0f0" stroked="f"/>
        </w:pict>
      </w:r>
    </w:p>
    <w:p w14:paraId="1605D70F" w14:textId="77777777" w:rsidR="00407963" w:rsidRPr="007920A9" w:rsidRDefault="00407963" w:rsidP="00026C12">
      <w:pPr>
        <w:jc w:val="both"/>
        <w:rPr>
          <w:b/>
          <w:color w:val="595959" w:themeColor="text1" w:themeTint="A6"/>
          <w:sz w:val="2"/>
          <w:szCs w:val="2"/>
        </w:rPr>
      </w:pPr>
    </w:p>
    <w:p w14:paraId="791811E5" w14:textId="06434207" w:rsidR="00407963" w:rsidRPr="007920A9" w:rsidRDefault="00617BF8" w:rsidP="00D87F1A">
      <w:pPr>
        <w:rPr>
          <w:b/>
          <w:color w:val="254265"/>
          <w:sz w:val="52"/>
          <w:szCs w:val="64"/>
        </w:rPr>
      </w:pPr>
      <w:r w:rsidRPr="007920A9">
        <w:rPr>
          <w:b/>
          <w:color w:val="254265"/>
          <w:sz w:val="52"/>
          <w:szCs w:val="64"/>
        </w:rPr>
        <w:t>Etude r</w:t>
      </w:r>
      <w:r w:rsidR="00407963" w:rsidRPr="007920A9">
        <w:rPr>
          <w:b/>
          <w:color w:val="254265"/>
          <w:sz w:val="52"/>
          <w:szCs w:val="64"/>
        </w:rPr>
        <w:t xml:space="preserve">éalisée pour le Gouvernement de la République </w:t>
      </w:r>
      <w:r w:rsidR="00B61E83" w:rsidRPr="007920A9">
        <w:rPr>
          <w:b/>
          <w:color w:val="254265"/>
          <w:sz w:val="52"/>
          <w:szCs w:val="64"/>
        </w:rPr>
        <w:t>Tunisienne</w:t>
      </w:r>
    </w:p>
    <w:p w14:paraId="2B7367EB" w14:textId="79A7A871" w:rsidR="00407963" w:rsidRPr="007920A9" w:rsidRDefault="007B2495" w:rsidP="00026C12">
      <w:pPr>
        <w:jc w:val="both"/>
        <w:rPr>
          <w:color w:val="254265"/>
          <w:sz w:val="52"/>
          <w:szCs w:val="52"/>
        </w:rPr>
      </w:pPr>
      <w:r>
        <w:rPr>
          <w:b/>
          <w:color w:val="254265"/>
          <w:sz w:val="52"/>
          <w:szCs w:val="52"/>
        </w:rPr>
        <w:t>Octobre</w:t>
      </w:r>
      <w:r w:rsidR="00B61E83" w:rsidRPr="007920A9">
        <w:rPr>
          <w:b/>
          <w:color w:val="254265"/>
          <w:sz w:val="52"/>
          <w:szCs w:val="52"/>
        </w:rPr>
        <w:t xml:space="preserve"> 2017</w:t>
      </w:r>
      <w:r w:rsidR="00407963" w:rsidRPr="007920A9" w:rsidDel="000476D3">
        <w:rPr>
          <w:color w:val="254265"/>
          <w:sz w:val="52"/>
          <w:szCs w:val="52"/>
        </w:rPr>
        <w:t xml:space="preserve"> </w:t>
      </w:r>
    </w:p>
    <w:p w14:paraId="0566613D" w14:textId="77777777" w:rsidR="00407963" w:rsidRPr="007920A9" w:rsidRDefault="00407963" w:rsidP="00026C12">
      <w:pPr>
        <w:jc w:val="both"/>
        <w:rPr>
          <w:rFonts w:asciiTheme="majorHAnsi" w:eastAsiaTheme="majorEastAsia" w:hAnsiTheme="majorHAnsi" w:cstheme="majorBidi"/>
          <w:b/>
          <w:bCs/>
          <w:color w:val="365F91" w:themeColor="accent1" w:themeShade="BF"/>
          <w:sz w:val="28"/>
          <w:szCs w:val="28"/>
        </w:rPr>
      </w:pPr>
      <w:r w:rsidRPr="007920A9">
        <w:rPr>
          <w:noProof/>
          <w:lang w:eastAsia="fr-FR"/>
        </w:rPr>
        <w:drawing>
          <wp:anchor distT="0" distB="0" distL="114300" distR="114300" simplePos="0" relativeHeight="251659264" behindDoc="0" locked="0" layoutInCell="1" allowOverlap="1" wp14:anchorId="2C7F591B" wp14:editId="2C8A1A48">
            <wp:simplePos x="0" y="0"/>
            <wp:positionH relativeFrom="column">
              <wp:posOffset>1386840</wp:posOffset>
            </wp:positionH>
            <wp:positionV relativeFrom="paragraph">
              <wp:posOffset>513080</wp:posOffset>
            </wp:positionV>
            <wp:extent cx="2860675" cy="561975"/>
            <wp:effectExtent l="0" t="0" r="0" b="9525"/>
            <wp:wrapSquare wrapText="bothSides"/>
            <wp:docPr id="7" name="Picture 7" descr="C:\Users\wb481164\AppData\Local\Temp\Rar$DI68.968\WBG_Horizontal-RGB-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b481164\AppData\Local\Temp\Rar$DI68.968\WBG_Horizontal-RGB-we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06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20A9">
        <w:br w:type="page"/>
      </w:r>
    </w:p>
    <w:p w14:paraId="43AD23D9" w14:textId="77777777" w:rsidR="00407963" w:rsidRPr="004D3C2A" w:rsidRDefault="00C66790" w:rsidP="00026C12">
      <w:pPr>
        <w:pStyle w:val="Titre1"/>
        <w:jc w:val="both"/>
      </w:pPr>
      <w:bookmarkStart w:id="1" w:name="_Toc459307829"/>
      <w:bookmarkStart w:id="2" w:name="_Toc496544770"/>
      <w:r w:rsidRPr="004D3C2A">
        <w:lastRenderedPageBreak/>
        <w:t>Synthèse</w:t>
      </w:r>
      <w:bookmarkEnd w:id="1"/>
      <w:bookmarkEnd w:id="2"/>
    </w:p>
    <w:p w14:paraId="7A290F54" w14:textId="7FDD365F" w:rsidR="00601266" w:rsidRDefault="00753FE5" w:rsidP="001B6DD5">
      <w:pPr>
        <w:jc w:val="both"/>
        <w:rPr>
          <w:sz w:val="24"/>
          <w:szCs w:val="24"/>
        </w:rPr>
      </w:pPr>
      <w:r w:rsidRPr="00753FE5">
        <w:rPr>
          <w:sz w:val="24"/>
          <w:szCs w:val="24"/>
        </w:rPr>
        <w:t xml:space="preserve">Dans le cadre du projet « </w:t>
      </w:r>
      <w:r>
        <w:rPr>
          <w:sz w:val="24"/>
          <w:szCs w:val="24"/>
        </w:rPr>
        <w:t>Appui à la mise en œuvre du</w:t>
      </w:r>
      <w:r w:rsidR="00601266">
        <w:rPr>
          <w:sz w:val="24"/>
          <w:szCs w:val="24"/>
        </w:rPr>
        <w:t xml:space="preserve"> deuxième</w:t>
      </w:r>
      <w:r>
        <w:rPr>
          <w:sz w:val="24"/>
          <w:szCs w:val="24"/>
        </w:rPr>
        <w:t xml:space="preserve"> plan d’action national du Partenariat pour le Gouvernement Ouvert</w:t>
      </w:r>
      <w:r w:rsidRPr="00753FE5">
        <w:rPr>
          <w:sz w:val="24"/>
          <w:szCs w:val="24"/>
        </w:rPr>
        <w:t xml:space="preserve"> </w:t>
      </w:r>
      <w:r>
        <w:rPr>
          <w:sz w:val="24"/>
          <w:szCs w:val="24"/>
        </w:rPr>
        <w:t xml:space="preserve">(PGO) </w:t>
      </w:r>
      <w:r w:rsidRPr="00753FE5">
        <w:rPr>
          <w:sz w:val="24"/>
          <w:szCs w:val="24"/>
        </w:rPr>
        <w:t>», l</w:t>
      </w:r>
      <w:r>
        <w:rPr>
          <w:sz w:val="24"/>
          <w:szCs w:val="24"/>
        </w:rPr>
        <w:t>a Banque mondiale</w:t>
      </w:r>
      <w:r w:rsidRPr="00753FE5">
        <w:rPr>
          <w:sz w:val="24"/>
          <w:szCs w:val="24"/>
        </w:rPr>
        <w:t xml:space="preserve"> soutient la Tu</w:t>
      </w:r>
      <w:r w:rsidR="00601266">
        <w:rPr>
          <w:sz w:val="24"/>
          <w:szCs w:val="24"/>
        </w:rPr>
        <w:t>nisie</w:t>
      </w:r>
      <w:r w:rsidR="00601266" w:rsidRPr="00601266">
        <w:rPr>
          <w:sz w:val="24"/>
          <w:szCs w:val="24"/>
        </w:rPr>
        <w:t xml:space="preserve"> </w:t>
      </w:r>
      <w:r w:rsidR="00821F10">
        <w:rPr>
          <w:bCs/>
          <w:iCs/>
          <w:sz w:val="24"/>
          <w:szCs w:val="24"/>
        </w:rPr>
        <w:t>dans</w:t>
      </w:r>
      <w:r w:rsidR="00601266" w:rsidRPr="00601266">
        <w:rPr>
          <w:bCs/>
          <w:iCs/>
          <w:sz w:val="24"/>
          <w:szCs w:val="24"/>
        </w:rPr>
        <w:t xml:space="preserve"> la mise en œuvre des activités découlant des engagements </w:t>
      </w:r>
      <w:r w:rsidR="004A7C9F">
        <w:rPr>
          <w:bCs/>
          <w:iCs/>
          <w:sz w:val="24"/>
          <w:szCs w:val="24"/>
        </w:rPr>
        <w:t xml:space="preserve">2, 3, 9, et 11 </w:t>
      </w:r>
      <w:r w:rsidR="00601266" w:rsidRPr="00601266">
        <w:rPr>
          <w:bCs/>
          <w:iCs/>
          <w:sz w:val="24"/>
          <w:szCs w:val="24"/>
        </w:rPr>
        <w:t xml:space="preserve">du deuxième plan d’action national PGO qui sont axées autour des problématiques de </w:t>
      </w:r>
      <w:r w:rsidR="002462AC">
        <w:rPr>
          <w:bCs/>
          <w:iCs/>
          <w:sz w:val="24"/>
          <w:szCs w:val="24"/>
        </w:rPr>
        <w:t xml:space="preserve">la </w:t>
      </w:r>
      <w:r w:rsidR="004A7C9F">
        <w:rPr>
          <w:bCs/>
          <w:iCs/>
          <w:sz w:val="24"/>
          <w:szCs w:val="24"/>
        </w:rPr>
        <w:t>transparence et</w:t>
      </w:r>
      <w:r w:rsidR="001B6DD5">
        <w:rPr>
          <w:bCs/>
          <w:iCs/>
          <w:sz w:val="24"/>
          <w:szCs w:val="24"/>
        </w:rPr>
        <w:t xml:space="preserve"> de l’</w:t>
      </w:r>
      <w:r w:rsidR="002462AC" w:rsidRPr="002462AC">
        <w:rPr>
          <w:bCs/>
          <w:iCs/>
          <w:sz w:val="24"/>
          <w:szCs w:val="24"/>
        </w:rPr>
        <w:t xml:space="preserve">engagement </w:t>
      </w:r>
      <w:r w:rsidR="002462AC">
        <w:rPr>
          <w:bCs/>
          <w:iCs/>
          <w:sz w:val="24"/>
          <w:szCs w:val="24"/>
        </w:rPr>
        <w:t>citoyen</w:t>
      </w:r>
      <w:r w:rsidR="004A7C9F">
        <w:rPr>
          <w:bCs/>
          <w:iCs/>
          <w:sz w:val="24"/>
          <w:szCs w:val="24"/>
        </w:rPr>
        <w:t>.</w:t>
      </w:r>
      <w:r w:rsidR="00601266">
        <w:rPr>
          <w:bCs/>
          <w:iCs/>
          <w:sz w:val="24"/>
          <w:szCs w:val="24"/>
        </w:rPr>
        <w:t xml:space="preserve"> </w:t>
      </w:r>
      <w:r w:rsidR="00CD2774">
        <w:rPr>
          <w:bCs/>
          <w:iCs/>
          <w:sz w:val="24"/>
          <w:szCs w:val="24"/>
        </w:rPr>
        <w:t>Ce rapport a été produit pour soutenir l</w:t>
      </w:r>
      <w:r w:rsidR="002400A7">
        <w:rPr>
          <w:bCs/>
          <w:iCs/>
          <w:sz w:val="24"/>
          <w:szCs w:val="24"/>
        </w:rPr>
        <w:t>’implémentation de l’</w:t>
      </w:r>
      <w:r w:rsidR="00CD2774" w:rsidRPr="00CD2774">
        <w:rPr>
          <w:bCs/>
          <w:iCs/>
          <w:sz w:val="24"/>
          <w:szCs w:val="24"/>
        </w:rPr>
        <w:t>engagement 3 du plan d’action 2016-2018</w:t>
      </w:r>
      <w:r w:rsidR="00CD2774">
        <w:rPr>
          <w:bCs/>
          <w:iCs/>
          <w:sz w:val="24"/>
          <w:szCs w:val="24"/>
        </w:rPr>
        <w:t xml:space="preserve"> </w:t>
      </w:r>
      <w:r w:rsidR="002400A7">
        <w:rPr>
          <w:bCs/>
          <w:iCs/>
          <w:sz w:val="24"/>
          <w:szCs w:val="24"/>
        </w:rPr>
        <w:t>et</w:t>
      </w:r>
      <w:r w:rsidR="003F354F">
        <w:rPr>
          <w:bCs/>
          <w:iCs/>
          <w:sz w:val="24"/>
          <w:szCs w:val="24"/>
        </w:rPr>
        <w:t xml:space="preserve"> vise à (i)</w:t>
      </w:r>
      <w:r w:rsidR="002400A7">
        <w:rPr>
          <w:bCs/>
          <w:iCs/>
          <w:sz w:val="24"/>
          <w:szCs w:val="24"/>
        </w:rPr>
        <w:t xml:space="preserve"> </w:t>
      </w:r>
      <w:r w:rsidR="003F354F">
        <w:rPr>
          <w:bCs/>
          <w:iCs/>
          <w:sz w:val="24"/>
          <w:szCs w:val="24"/>
        </w:rPr>
        <w:t xml:space="preserve">fournir </w:t>
      </w:r>
      <w:r w:rsidR="002400A7">
        <w:rPr>
          <w:bCs/>
          <w:iCs/>
          <w:sz w:val="24"/>
          <w:szCs w:val="24"/>
        </w:rPr>
        <w:t>un état des lieux en matière d’ouverture de données gouvernementales en Tunisie et</w:t>
      </w:r>
      <w:r w:rsidR="003F354F">
        <w:rPr>
          <w:bCs/>
          <w:iCs/>
          <w:sz w:val="24"/>
          <w:szCs w:val="24"/>
        </w:rPr>
        <w:t xml:space="preserve"> (ii)</w:t>
      </w:r>
      <w:r w:rsidR="002400A7">
        <w:rPr>
          <w:bCs/>
          <w:iCs/>
          <w:sz w:val="24"/>
          <w:szCs w:val="24"/>
        </w:rPr>
        <w:t xml:space="preserve"> </w:t>
      </w:r>
      <w:r w:rsidR="003F354F">
        <w:rPr>
          <w:bCs/>
          <w:iCs/>
          <w:sz w:val="24"/>
          <w:szCs w:val="24"/>
        </w:rPr>
        <w:t xml:space="preserve">proposer un plan d’actions </w:t>
      </w:r>
      <w:r w:rsidR="002400A7">
        <w:rPr>
          <w:bCs/>
          <w:iCs/>
          <w:sz w:val="24"/>
          <w:szCs w:val="24"/>
        </w:rPr>
        <w:t xml:space="preserve">séquencées sur court et moyen terme pour </w:t>
      </w:r>
      <w:r w:rsidR="003F354F">
        <w:rPr>
          <w:bCs/>
          <w:iCs/>
          <w:sz w:val="24"/>
          <w:szCs w:val="24"/>
        </w:rPr>
        <w:t xml:space="preserve">la mise en œuvre efficace d’un programme national de données ouvertes. </w:t>
      </w:r>
    </w:p>
    <w:p w14:paraId="1863AD4F" w14:textId="1AA098AD" w:rsidR="004C4146" w:rsidRDefault="004C4146" w:rsidP="004A7C9F">
      <w:pPr>
        <w:jc w:val="both"/>
        <w:rPr>
          <w:sz w:val="24"/>
          <w:szCs w:val="24"/>
        </w:rPr>
      </w:pPr>
      <w:r>
        <w:rPr>
          <w:sz w:val="24"/>
          <w:szCs w:val="24"/>
        </w:rPr>
        <w:t xml:space="preserve">A la demande du Gouvernement de la République </w:t>
      </w:r>
      <w:r w:rsidR="00E51197">
        <w:rPr>
          <w:sz w:val="24"/>
          <w:szCs w:val="24"/>
        </w:rPr>
        <w:t>Tunisienne, et en particulier de L’Unité de l’Administration Electronique (UAE), rattachée à la Présidence du Gouvernement (PG)</w:t>
      </w:r>
      <w:r>
        <w:rPr>
          <w:sz w:val="24"/>
          <w:szCs w:val="24"/>
        </w:rPr>
        <w:t xml:space="preserve">, la Banque Mondiale a procédé à une évaluation de l’état de préparation de la République </w:t>
      </w:r>
      <w:r w:rsidR="00E51197">
        <w:rPr>
          <w:sz w:val="24"/>
          <w:szCs w:val="24"/>
        </w:rPr>
        <w:t>Tunisienne</w:t>
      </w:r>
      <w:r>
        <w:rPr>
          <w:sz w:val="24"/>
          <w:szCs w:val="24"/>
        </w:rPr>
        <w:t xml:space="preserve"> en vue </w:t>
      </w:r>
      <w:r w:rsidR="00452BD4">
        <w:rPr>
          <w:sz w:val="24"/>
          <w:szCs w:val="24"/>
        </w:rPr>
        <w:t>du développement de l</w:t>
      </w:r>
      <w:r>
        <w:rPr>
          <w:sz w:val="24"/>
          <w:szCs w:val="24"/>
        </w:rPr>
        <w:t>’initiative d’ouverture des données publiques (connue aussi sous le nom d’Open Data Readiness Assessment ou ODRA) durant les mois d</w:t>
      </w:r>
      <w:r w:rsidR="00E51197">
        <w:rPr>
          <w:sz w:val="24"/>
          <w:szCs w:val="24"/>
        </w:rPr>
        <w:t>’Août à Octobre 2017</w:t>
      </w:r>
      <w:r>
        <w:rPr>
          <w:sz w:val="24"/>
          <w:szCs w:val="24"/>
        </w:rPr>
        <w:t>, incluant une visite s</w:t>
      </w:r>
      <w:r w:rsidR="00E51197">
        <w:rPr>
          <w:sz w:val="24"/>
          <w:szCs w:val="24"/>
        </w:rPr>
        <w:t>ur le terrain par un expert du 25 Septembre au 3 Octobre 2017</w:t>
      </w:r>
      <w:r>
        <w:rPr>
          <w:sz w:val="24"/>
          <w:szCs w:val="24"/>
        </w:rPr>
        <w:t xml:space="preserve">. </w:t>
      </w:r>
      <w:r w:rsidR="00B95425">
        <w:rPr>
          <w:sz w:val="24"/>
          <w:szCs w:val="24"/>
        </w:rPr>
        <w:t>E</w:t>
      </w:r>
      <w:r>
        <w:rPr>
          <w:sz w:val="24"/>
          <w:szCs w:val="24"/>
        </w:rPr>
        <w:t>n application de la méthodologie</w:t>
      </w:r>
      <w:r>
        <w:rPr>
          <w:rStyle w:val="Appelnotedebasdep"/>
          <w:sz w:val="24"/>
          <w:szCs w:val="24"/>
          <w:lang w:val="en-US"/>
        </w:rPr>
        <w:footnoteReference w:id="1"/>
      </w:r>
      <w:r>
        <w:rPr>
          <w:sz w:val="24"/>
          <w:szCs w:val="24"/>
        </w:rPr>
        <w:t xml:space="preserve"> ODRA de la Banque Mondiale, </w:t>
      </w:r>
      <w:r w:rsidR="009352D9">
        <w:rPr>
          <w:sz w:val="24"/>
          <w:szCs w:val="24"/>
        </w:rPr>
        <w:t xml:space="preserve">les experts de la Banque mondiale </w:t>
      </w:r>
      <w:r w:rsidR="00B95425">
        <w:rPr>
          <w:sz w:val="24"/>
          <w:szCs w:val="24"/>
        </w:rPr>
        <w:t>ont</w:t>
      </w:r>
      <w:r>
        <w:rPr>
          <w:sz w:val="24"/>
          <w:szCs w:val="24"/>
        </w:rPr>
        <w:t xml:space="preserve"> exploré les 8 dimensions qui ont un impact sur une initiative d’ouverture des </w:t>
      </w:r>
      <w:r w:rsidR="009352D9">
        <w:rPr>
          <w:sz w:val="24"/>
          <w:szCs w:val="24"/>
        </w:rPr>
        <w:t>données gouvernementales </w:t>
      </w:r>
      <w:r>
        <w:rPr>
          <w:sz w:val="24"/>
          <w:szCs w:val="24"/>
        </w:rPr>
        <w:t xml:space="preserve">: </w:t>
      </w:r>
    </w:p>
    <w:p w14:paraId="42FC6E0A" w14:textId="769EAFA1" w:rsidR="004C4146" w:rsidRDefault="006B5D45" w:rsidP="00D5699E">
      <w:pPr>
        <w:pStyle w:val="Paragraphedeliste"/>
        <w:numPr>
          <w:ilvl w:val="0"/>
          <w:numId w:val="110"/>
        </w:numPr>
        <w:jc w:val="both"/>
        <w:rPr>
          <w:sz w:val="24"/>
          <w:szCs w:val="24"/>
        </w:rPr>
      </w:pPr>
      <w:r>
        <w:rPr>
          <w:sz w:val="24"/>
          <w:szCs w:val="24"/>
        </w:rPr>
        <w:t>L</w:t>
      </w:r>
      <w:r w:rsidR="004C4146">
        <w:rPr>
          <w:sz w:val="24"/>
          <w:szCs w:val="24"/>
        </w:rPr>
        <w:t>e leadership;</w:t>
      </w:r>
    </w:p>
    <w:p w14:paraId="69165444" w14:textId="4FEBBFDD" w:rsidR="004C4146" w:rsidRDefault="006B5D45" w:rsidP="00D5699E">
      <w:pPr>
        <w:pStyle w:val="Paragraphedeliste"/>
        <w:numPr>
          <w:ilvl w:val="0"/>
          <w:numId w:val="110"/>
        </w:numPr>
        <w:jc w:val="both"/>
        <w:rPr>
          <w:sz w:val="24"/>
          <w:szCs w:val="24"/>
        </w:rPr>
      </w:pPr>
      <w:r>
        <w:rPr>
          <w:sz w:val="24"/>
          <w:szCs w:val="24"/>
        </w:rPr>
        <w:t>Le</w:t>
      </w:r>
      <w:r w:rsidR="004C4146">
        <w:rPr>
          <w:sz w:val="24"/>
          <w:szCs w:val="24"/>
        </w:rPr>
        <w:t xml:space="preserve"> cadre réglementaire et juridique;</w:t>
      </w:r>
    </w:p>
    <w:p w14:paraId="18AB9E5B" w14:textId="54F7C16E" w:rsidR="004C4146" w:rsidRDefault="006B5D45" w:rsidP="00D5699E">
      <w:pPr>
        <w:pStyle w:val="Paragraphedeliste"/>
        <w:numPr>
          <w:ilvl w:val="0"/>
          <w:numId w:val="110"/>
        </w:numPr>
        <w:jc w:val="both"/>
        <w:rPr>
          <w:sz w:val="24"/>
          <w:szCs w:val="24"/>
        </w:rPr>
      </w:pPr>
      <w:r>
        <w:rPr>
          <w:sz w:val="24"/>
          <w:szCs w:val="24"/>
        </w:rPr>
        <w:t>Les</w:t>
      </w:r>
      <w:r w:rsidR="004C4146">
        <w:rPr>
          <w:sz w:val="24"/>
          <w:szCs w:val="24"/>
        </w:rPr>
        <w:t xml:space="preserve"> structures institutionnelles, responsabilités et compétences au sein du gouvernement;</w:t>
      </w:r>
    </w:p>
    <w:p w14:paraId="0AE6C0E2" w14:textId="6EA01234" w:rsidR="004C4146" w:rsidRDefault="006B5D45" w:rsidP="00D5699E">
      <w:pPr>
        <w:pStyle w:val="Paragraphedeliste"/>
        <w:numPr>
          <w:ilvl w:val="0"/>
          <w:numId w:val="110"/>
        </w:numPr>
        <w:jc w:val="both"/>
        <w:rPr>
          <w:sz w:val="24"/>
          <w:szCs w:val="24"/>
        </w:rPr>
      </w:pPr>
      <w:r>
        <w:rPr>
          <w:sz w:val="24"/>
          <w:szCs w:val="24"/>
        </w:rPr>
        <w:t>Les</w:t>
      </w:r>
      <w:r w:rsidR="004C4146">
        <w:rPr>
          <w:sz w:val="24"/>
          <w:szCs w:val="24"/>
        </w:rPr>
        <w:t xml:space="preserve"> données au sein du gouvernement, ainsi que les réglementations et procédures de la gestion des données gouvernementales;</w:t>
      </w:r>
    </w:p>
    <w:p w14:paraId="51825DF1" w14:textId="55E3F3DD" w:rsidR="004C4146" w:rsidRDefault="006B5D45" w:rsidP="00D5699E">
      <w:pPr>
        <w:pStyle w:val="Paragraphedeliste"/>
        <w:numPr>
          <w:ilvl w:val="0"/>
          <w:numId w:val="110"/>
        </w:numPr>
        <w:jc w:val="both"/>
        <w:rPr>
          <w:sz w:val="24"/>
          <w:szCs w:val="24"/>
        </w:rPr>
      </w:pPr>
      <w:r>
        <w:rPr>
          <w:sz w:val="24"/>
          <w:szCs w:val="24"/>
        </w:rPr>
        <w:t>La</w:t>
      </w:r>
      <w:r w:rsidR="004C4146">
        <w:rPr>
          <w:sz w:val="24"/>
          <w:szCs w:val="24"/>
        </w:rPr>
        <w:t xml:space="preserve"> demande concernant l’ouverture des données publiques; </w:t>
      </w:r>
    </w:p>
    <w:p w14:paraId="115AB71A" w14:textId="2948AE0E" w:rsidR="004C4146" w:rsidRDefault="006B5D45" w:rsidP="00D5699E">
      <w:pPr>
        <w:pStyle w:val="Paragraphedeliste"/>
        <w:numPr>
          <w:ilvl w:val="0"/>
          <w:numId w:val="110"/>
        </w:numPr>
        <w:jc w:val="both"/>
        <w:rPr>
          <w:sz w:val="24"/>
          <w:szCs w:val="24"/>
        </w:rPr>
      </w:pPr>
      <w:r>
        <w:rPr>
          <w:sz w:val="24"/>
          <w:szCs w:val="24"/>
        </w:rPr>
        <w:t>L’engagement</w:t>
      </w:r>
      <w:r w:rsidR="004C4146">
        <w:rPr>
          <w:sz w:val="24"/>
          <w:szCs w:val="24"/>
        </w:rPr>
        <w:t xml:space="preserve"> citoyen et les capacités concernant les données publiques;</w:t>
      </w:r>
    </w:p>
    <w:p w14:paraId="602F1E09" w14:textId="62829377" w:rsidR="004C4146" w:rsidRDefault="006B5D45" w:rsidP="00D5699E">
      <w:pPr>
        <w:pStyle w:val="Paragraphedeliste"/>
        <w:numPr>
          <w:ilvl w:val="0"/>
          <w:numId w:val="110"/>
        </w:numPr>
        <w:jc w:val="both"/>
        <w:rPr>
          <w:sz w:val="24"/>
          <w:szCs w:val="24"/>
        </w:rPr>
      </w:pPr>
      <w:r>
        <w:rPr>
          <w:sz w:val="24"/>
          <w:szCs w:val="24"/>
        </w:rPr>
        <w:t>Le</w:t>
      </w:r>
      <w:r w:rsidR="004C4146">
        <w:rPr>
          <w:sz w:val="24"/>
          <w:szCs w:val="24"/>
        </w:rPr>
        <w:t xml:space="preserve"> financement d’un programme d’ouverture des données publiques et </w:t>
      </w:r>
    </w:p>
    <w:p w14:paraId="0AA024F3" w14:textId="2672986D" w:rsidR="004C4146" w:rsidRDefault="006B5D45" w:rsidP="00D5699E">
      <w:pPr>
        <w:pStyle w:val="Paragraphedeliste"/>
        <w:numPr>
          <w:ilvl w:val="0"/>
          <w:numId w:val="110"/>
        </w:numPr>
        <w:jc w:val="both"/>
        <w:rPr>
          <w:sz w:val="24"/>
          <w:szCs w:val="24"/>
        </w:rPr>
      </w:pPr>
      <w:r>
        <w:rPr>
          <w:sz w:val="24"/>
          <w:szCs w:val="24"/>
        </w:rPr>
        <w:t>Les</w:t>
      </w:r>
      <w:r w:rsidR="004C4146">
        <w:rPr>
          <w:sz w:val="24"/>
          <w:szCs w:val="24"/>
        </w:rPr>
        <w:t xml:space="preserve"> infrastructures nationales technologiques et les compétences informatiques.</w:t>
      </w:r>
    </w:p>
    <w:p w14:paraId="3CB64469" w14:textId="144A98AA" w:rsidR="004C4146" w:rsidRDefault="004C4146" w:rsidP="004C4146">
      <w:pPr>
        <w:jc w:val="both"/>
        <w:rPr>
          <w:sz w:val="24"/>
          <w:szCs w:val="24"/>
        </w:rPr>
      </w:pPr>
      <w:r>
        <w:rPr>
          <w:sz w:val="24"/>
          <w:szCs w:val="24"/>
        </w:rPr>
        <w:t xml:space="preserve">Le résultat de ce diagnostic donne une image homogène des forces et des barrières potentielles à résoudre pour </w:t>
      </w:r>
      <w:r w:rsidR="0082533D">
        <w:rPr>
          <w:sz w:val="24"/>
          <w:szCs w:val="24"/>
        </w:rPr>
        <w:t>le développement</w:t>
      </w:r>
      <w:r>
        <w:rPr>
          <w:sz w:val="24"/>
          <w:szCs w:val="24"/>
        </w:rPr>
        <w:t xml:space="preserve"> d’une initiative d’ouverture des données </w:t>
      </w:r>
      <w:r w:rsidR="009352D9">
        <w:rPr>
          <w:sz w:val="24"/>
          <w:szCs w:val="24"/>
        </w:rPr>
        <w:t>gouvernementales</w:t>
      </w:r>
      <w:r>
        <w:rPr>
          <w:sz w:val="24"/>
          <w:szCs w:val="24"/>
        </w:rPr>
        <w:t>. La Ré</w:t>
      </w:r>
      <w:r w:rsidR="00E51197">
        <w:rPr>
          <w:sz w:val="24"/>
          <w:szCs w:val="24"/>
        </w:rPr>
        <w:t>publique Tunisienne</w:t>
      </w:r>
      <w:r>
        <w:rPr>
          <w:sz w:val="24"/>
          <w:szCs w:val="24"/>
        </w:rPr>
        <w:t xml:space="preserve"> offre des fondations solides pour le développement d’une telle initiative, et le contexte politique actuel est propice au lancement </w:t>
      </w:r>
      <w:r>
        <w:rPr>
          <w:sz w:val="24"/>
          <w:szCs w:val="24"/>
        </w:rPr>
        <w:lastRenderedPageBreak/>
        <w:t xml:space="preserve">à brève échéance de cette initiative. En effet, l’ouverture des </w:t>
      </w:r>
      <w:r w:rsidR="009352D9">
        <w:rPr>
          <w:sz w:val="24"/>
          <w:szCs w:val="24"/>
        </w:rPr>
        <w:t xml:space="preserve">données gouvernementales </w:t>
      </w:r>
      <w:r>
        <w:rPr>
          <w:sz w:val="24"/>
          <w:szCs w:val="24"/>
        </w:rPr>
        <w:t xml:space="preserve">s’inscrit dans </w:t>
      </w:r>
      <w:r w:rsidR="0060355A">
        <w:rPr>
          <w:sz w:val="24"/>
          <w:szCs w:val="24"/>
        </w:rPr>
        <w:t>trois</w:t>
      </w:r>
      <w:r>
        <w:rPr>
          <w:sz w:val="24"/>
          <w:szCs w:val="24"/>
        </w:rPr>
        <w:t xml:space="preserve"> éléments clés de l’agenda politique du pays : </w:t>
      </w:r>
      <w:r w:rsidR="00001A1D">
        <w:rPr>
          <w:sz w:val="24"/>
          <w:szCs w:val="24"/>
        </w:rPr>
        <w:t xml:space="preserve">1) </w:t>
      </w:r>
      <w:r>
        <w:rPr>
          <w:sz w:val="24"/>
          <w:szCs w:val="24"/>
        </w:rPr>
        <w:t>la transparence de gouvernance</w:t>
      </w:r>
      <w:r w:rsidR="00E1492C">
        <w:rPr>
          <w:rStyle w:val="Appelnotedebasdep"/>
          <w:sz w:val="24"/>
          <w:szCs w:val="24"/>
        </w:rPr>
        <w:footnoteReference w:id="2"/>
      </w:r>
      <w:r w:rsidR="00001A1D">
        <w:rPr>
          <w:sz w:val="24"/>
          <w:szCs w:val="24"/>
        </w:rPr>
        <w:t xml:space="preserve"> et l</w:t>
      </w:r>
      <w:r w:rsidR="00452BD4">
        <w:rPr>
          <w:sz w:val="24"/>
          <w:szCs w:val="24"/>
        </w:rPr>
        <w:t>e</w:t>
      </w:r>
      <w:r w:rsidR="00001A1D">
        <w:rPr>
          <w:sz w:val="24"/>
          <w:szCs w:val="24"/>
        </w:rPr>
        <w:t xml:space="preserve"> gouvernement ouvert avec notamment la participation de la Tunisie au Partenariat international pour un Gouvernement Ouvert (PGO/OGP) depuis 2014</w:t>
      </w:r>
      <w:r w:rsidR="00001A1D">
        <w:rPr>
          <w:rStyle w:val="Appelnotedebasdep"/>
          <w:sz w:val="24"/>
          <w:szCs w:val="24"/>
        </w:rPr>
        <w:footnoteReference w:id="3"/>
      </w:r>
      <w:r w:rsidR="00001A1D">
        <w:rPr>
          <w:sz w:val="24"/>
          <w:szCs w:val="24"/>
        </w:rPr>
        <w:t>. 2) La modernisation</w:t>
      </w:r>
      <w:r>
        <w:rPr>
          <w:sz w:val="24"/>
          <w:szCs w:val="24"/>
        </w:rPr>
        <w:t xml:space="preserve"> </w:t>
      </w:r>
      <w:r w:rsidR="00001A1D">
        <w:rPr>
          <w:sz w:val="24"/>
          <w:szCs w:val="24"/>
        </w:rPr>
        <w:t>de l’administration et l’amélioration des services publiques</w:t>
      </w:r>
      <w:r w:rsidR="00E1492C">
        <w:rPr>
          <w:rStyle w:val="Appelnotedebasdep"/>
          <w:sz w:val="24"/>
          <w:szCs w:val="24"/>
        </w:rPr>
        <w:footnoteReference w:id="4"/>
      </w:r>
      <w:r w:rsidR="00001A1D">
        <w:rPr>
          <w:sz w:val="24"/>
          <w:szCs w:val="24"/>
        </w:rPr>
        <w:t xml:space="preserve"> (initiative SmartGov 2020</w:t>
      </w:r>
      <w:r w:rsidR="00001A1D">
        <w:rPr>
          <w:rStyle w:val="Appelnotedebasdep"/>
          <w:sz w:val="24"/>
          <w:szCs w:val="24"/>
        </w:rPr>
        <w:footnoteReference w:id="5"/>
      </w:r>
      <w:r w:rsidR="00001A1D">
        <w:rPr>
          <w:sz w:val="24"/>
          <w:szCs w:val="24"/>
        </w:rPr>
        <w:t>). 3) le développement de l’innovation, des TIC et des startups (Plan National Stratégique Tunisie Digital 2020</w:t>
      </w:r>
      <w:r w:rsidR="00001A1D">
        <w:rPr>
          <w:rStyle w:val="Appelnotedebasdep"/>
          <w:sz w:val="24"/>
          <w:szCs w:val="24"/>
        </w:rPr>
        <w:footnoteReference w:id="6"/>
      </w:r>
      <w:r w:rsidR="00001A1D">
        <w:rPr>
          <w:sz w:val="24"/>
          <w:szCs w:val="24"/>
        </w:rPr>
        <w:t>)</w:t>
      </w:r>
      <w:r w:rsidR="00E1492C">
        <w:rPr>
          <w:rStyle w:val="Appelnotedebasdep"/>
          <w:sz w:val="24"/>
          <w:szCs w:val="24"/>
        </w:rPr>
        <w:footnoteReference w:id="7"/>
      </w:r>
      <w:r w:rsidR="00001A1D">
        <w:rPr>
          <w:sz w:val="24"/>
          <w:szCs w:val="24"/>
        </w:rPr>
        <w:t>.</w:t>
      </w:r>
    </w:p>
    <w:p w14:paraId="5F9E7ED5" w14:textId="5F743F98" w:rsidR="00001A1D" w:rsidRDefault="004C4146" w:rsidP="00757889">
      <w:pPr>
        <w:jc w:val="both"/>
        <w:rPr>
          <w:sz w:val="24"/>
          <w:szCs w:val="24"/>
        </w:rPr>
      </w:pPr>
      <w:r>
        <w:rPr>
          <w:sz w:val="24"/>
          <w:szCs w:val="24"/>
        </w:rPr>
        <w:t xml:space="preserve">Concernant le premier point, la </w:t>
      </w:r>
      <w:r w:rsidR="00001A1D">
        <w:rPr>
          <w:sz w:val="24"/>
          <w:szCs w:val="24"/>
        </w:rPr>
        <w:t>Tunisie</w:t>
      </w:r>
      <w:r>
        <w:rPr>
          <w:sz w:val="24"/>
          <w:szCs w:val="24"/>
        </w:rPr>
        <w:t xml:space="preserve"> s’est engagée depuis</w:t>
      </w:r>
      <w:r w:rsidR="00001A1D">
        <w:rPr>
          <w:sz w:val="24"/>
          <w:szCs w:val="24"/>
        </w:rPr>
        <w:t xml:space="preserve"> la révolution de Janvier 2011</w:t>
      </w:r>
      <w:r>
        <w:rPr>
          <w:sz w:val="24"/>
          <w:szCs w:val="24"/>
        </w:rPr>
        <w:t xml:space="preserve"> dans la transparence. </w:t>
      </w:r>
      <w:r w:rsidR="00001A1D">
        <w:rPr>
          <w:sz w:val="24"/>
          <w:szCs w:val="24"/>
        </w:rPr>
        <w:t xml:space="preserve">Elle adhère depuis 2014 au PGO, et implémente actuellement </w:t>
      </w:r>
      <w:r w:rsidR="001045F9">
        <w:rPr>
          <w:sz w:val="24"/>
          <w:szCs w:val="24"/>
        </w:rPr>
        <w:t>son deuxième</w:t>
      </w:r>
      <w:r w:rsidR="00001A1D">
        <w:rPr>
          <w:sz w:val="24"/>
          <w:szCs w:val="24"/>
        </w:rPr>
        <w:t xml:space="preserve"> plan d’action</w:t>
      </w:r>
      <w:r w:rsidR="00041664">
        <w:rPr>
          <w:sz w:val="24"/>
          <w:szCs w:val="24"/>
        </w:rPr>
        <w:t xml:space="preserve">, dont 10 des 15 engagements sont </w:t>
      </w:r>
      <w:r w:rsidR="006B5D45">
        <w:rPr>
          <w:sz w:val="24"/>
          <w:szCs w:val="24"/>
        </w:rPr>
        <w:t>relatifs</w:t>
      </w:r>
      <w:r w:rsidR="00041664">
        <w:rPr>
          <w:sz w:val="24"/>
          <w:szCs w:val="24"/>
        </w:rPr>
        <w:t xml:space="preserve"> à l’Open Data</w:t>
      </w:r>
      <w:r w:rsidR="00001A1D">
        <w:rPr>
          <w:sz w:val="24"/>
          <w:szCs w:val="24"/>
        </w:rPr>
        <w:t xml:space="preserve">. </w:t>
      </w:r>
      <w:r>
        <w:rPr>
          <w:sz w:val="24"/>
          <w:szCs w:val="24"/>
        </w:rPr>
        <w:t xml:space="preserve">Elle participe </w:t>
      </w:r>
      <w:r w:rsidR="00001A1D">
        <w:rPr>
          <w:sz w:val="24"/>
          <w:szCs w:val="24"/>
        </w:rPr>
        <w:t xml:space="preserve">également </w:t>
      </w:r>
      <w:r>
        <w:rPr>
          <w:sz w:val="24"/>
          <w:szCs w:val="24"/>
        </w:rPr>
        <w:t>à de nombreuses initiatives dans le domaine comme les programmes BOOST</w:t>
      </w:r>
      <w:r w:rsidR="00AD6512">
        <w:rPr>
          <w:rStyle w:val="Appelnotedebasdep"/>
          <w:sz w:val="24"/>
          <w:szCs w:val="24"/>
        </w:rPr>
        <w:footnoteReference w:id="8"/>
      </w:r>
      <w:r>
        <w:rPr>
          <w:sz w:val="24"/>
          <w:szCs w:val="24"/>
        </w:rPr>
        <w:t xml:space="preserve"> (publication de toutes les données budgétaires du pays) ou l’ITIE (Initiative de Transparence des Industries Extractives</w:t>
      </w:r>
      <w:r w:rsidR="00001A1D">
        <w:rPr>
          <w:sz w:val="24"/>
          <w:szCs w:val="24"/>
        </w:rPr>
        <w:t xml:space="preserve"> – en cours d’adhésion</w:t>
      </w:r>
      <w:r>
        <w:rPr>
          <w:sz w:val="24"/>
          <w:szCs w:val="24"/>
        </w:rPr>
        <w:t>)</w:t>
      </w:r>
      <w:r w:rsidR="00001A1D">
        <w:rPr>
          <w:sz w:val="24"/>
          <w:szCs w:val="24"/>
        </w:rPr>
        <w:t>.</w:t>
      </w:r>
      <w:r w:rsidR="007666EF">
        <w:rPr>
          <w:sz w:val="24"/>
          <w:szCs w:val="24"/>
        </w:rPr>
        <w:t>Depuis 2012</w:t>
      </w:r>
      <w:r w:rsidR="00AD6512">
        <w:rPr>
          <w:sz w:val="24"/>
          <w:szCs w:val="24"/>
        </w:rPr>
        <w:t xml:space="preserve">, l’Unité de l’Administration Electronique </w:t>
      </w:r>
      <w:r w:rsidR="007666EF">
        <w:rPr>
          <w:sz w:val="24"/>
          <w:szCs w:val="24"/>
        </w:rPr>
        <w:t>met</w:t>
      </w:r>
      <w:r w:rsidR="00AD6512">
        <w:rPr>
          <w:sz w:val="24"/>
          <w:szCs w:val="24"/>
        </w:rPr>
        <w:t xml:space="preserve"> à la disposition du publique </w:t>
      </w:r>
      <w:r w:rsidR="007666EF">
        <w:rPr>
          <w:sz w:val="24"/>
          <w:szCs w:val="24"/>
        </w:rPr>
        <w:t xml:space="preserve">un nombre croissant de jeux de données à travers </w:t>
      </w:r>
      <w:r w:rsidR="00AD6512">
        <w:rPr>
          <w:sz w:val="24"/>
          <w:szCs w:val="24"/>
        </w:rPr>
        <w:t>un portail national d’Open Data</w:t>
      </w:r>
      <w:r w:rsidR="007666EF">
        <w:rPr>
          <w:sz w:val="24"/>
          <w:szCs w:val="24"/>
        </w:rPr>
        <w:t xml:space="preserve"> qui a </w:t>
      </w:r>
      <w:r w:rsidR="00AE2FBD">
        <w:rPr>
          <w:sz w:val="24"/>
          <w:szCs w:val="24"/>
        </w:rPr>
        <w:t>été moderniser en fin 2016</w:t>
      </w:r>
      <w:r w:rsidR="00AD6512">
        <w:rPr>
          <w:sz w:val="24"/>
          <w:szCs w:val="24"/>
        </w:rPr>
        <w:t xml:space="preserve">. </w:t>
      </w:r>
      <w:r w:rsidR="00041664">
        <w:rPr>
          <w:sz w:val="24"/>
          <w:szCs w:val="24"/>
        </w:rPr>
        <w:t>De plus plusieurs ministères et agences (Ministère des Finances, Ministères de</w:t>
      </w:r>
      <w:r w:rsidR="00AD6512">
        <w:rPr>
          <w:sz w:val="24"/>
          <w:szCs w:val="24"/>
        </w:rPr>
        <w:t xml:space="preserve">s Affaires </w:t>
      </w:r>
      <w:r w:rsidR="00041664">
        <w:rPr>
          <w:sz w:val="24"/>
          <w:szCs w:val="24"/>
        </w:rPr>
        <w:t>Culture</w:t>
      </w:r>
      <w:r w:rsidR="00AD6512">
        <w:rPr>
          <w:sz w:val="24"/>
          <w:szCs w:val="24"/>
        </w:rPr>
        <w:t>lles</w:t>
      </w:r>
      <w:r w:rsidR="00041664">
        <w:rPr>
          <w:sz w:val="24"/>
          <w:szCs w:val="24"/>
        </w:rPr>
        <w:t>, Ministère de l’Energie, des Mines et des Energies Renouvelable, Ministère de l’Intérieur, Institut Nationale de la Statistique</w:t>
      </w:r>
      <w:r w:rsidR="00F056E2">
        <w:rPr>
          <w:sz w:val="24"/>
          <w:szCs w:val="24"/>
        </w:rPr>
        <w:t>, Ministère de l’Industrie et des PMEs</w:t>
      </w:r>
      <w:r w:rsidR="00041664">
        <w:rPr>
          <w:sz w:val="24"/>
          <w:szCs w:val="24"/>
        </w:rPr>
        <w:t>)</w:t>
      </w:r>
      <w:r w:rsidR="00110B69">
        <w:rPr>
          <w:sz w:val="24"/>
          <w:szCs w:val="24"/>
        </w:rPr>
        <w:t xml:space="preserve"> </w:t>
      </w:r>
      <w:r w:rsidR="00041664">
        <w:rPr>
          <w:sz w:val="24"/>
          <w:szCs w:val="24"/>
        </w:rPr>
        <w:t>publient leurs données sur leur propre portail</w:t>
      </w:r>
      <w:r w:rsidR="00110B69">
        <w:rPr>
          <w:sz w:val="24"/>
          <w:szCs w:val="24"/>
        </w:rPr>
        <w:t xml:space="preserve">. </w:t>
      </w:r>
      <w:r w:rsidR="00041664">
        <w:rPr>
          <w:sz w:val="24"/>
          <w:szCs w:val="24"/>
        </w:rPr>
        <w:t xml:space="preserve">Enfin, d’un point de vue législatif, dès 2011 des </w:t>
      </w:r>
      <w:r w:rsidR="004E0C69">
        <w:rPr>
          <w:sz w:val="24"/>
          <w:szCs w:val="24"/>
        </w:rPr>
        <w:t>décrets-lois</w:t>
      </w:r>
      <w:r w:rsidR="00041664">
        <w:rPr>
          <w:sz w:val="24"/>
          <w:szCs w:val="24"/>
        </w:rPr>
        <w:t xml:space="preserve"> concernant l’accès à l’information ont été publiés</w:t>
      </w:r>
      <w:r w:rsidR="00F056E2">
        <w:rPr>
          <w:rStyle w:val="Appelnotedebasdep"/>
          <w:sz w:val="24"/>
          <w:szCs w:val="24"/>
        </w:rPr>
        <w:footnoteReference w:id="9"/>
      </w:r>
      <w:r w:rsidR="00041664">
        <w:rPr>
          <w:sz w:val="24"/>
          <w:szCs w:val="24"/>
        </w:rPr>
        <w:t>, et l</w:t>
      </w:r>
      <w:r w:rsidR="00757889">
        <w:rPr>
          <w:sz w:val="24"/>
          <w:szCs w:val="24"/>
        </w:rPr>
        <w:t>e droit d</w:t>
      </w:r>
      <w:r w:rsidR="00041664">
        <w:rPr>
          <w:sz w:val="24"/>
          <w:szCs w:val="24"/>
        </w:rPr>
        <w:t xml:space="preserve">’accès à l’information est devenu </w:t>
      </w:r>
      <w:r w:rsidR="00757889">
        <w:rPr>
          <w:sz w:val="24"/>
          <w:szCs w:val="24"/>
        </w:rPr>
        <w:t xml:space="preserve">consacrée </w:t>
      </w:r>
      <w:r w:rsidR="00F056E2">
        <w:rPr>
          <w:sz w:val="24"/>
          <w:szCs w:val="24"/>
        </w:rPr>
        <w:t xml:space="preserve">d’une part par l’article 32 de la nouvelle Constitution de 2014 et ensuite </w:t>
      </w:r>
      <w:r w:rsidR="00757889" w:rsidRPr="00757889">
        <w:rPr>
          <w:sz w:val="24"/>
          <w:szCs w:val="24"/>
        </w:rPr>
        <w:t>par la loi organique n° 2016-22</w:t>
      </w:r>
      <w:r w:rsidR="00AE2FBD">
        <w:rPr>
          <w:sz w:val="24"/>
          <w:szCs w:val="24"/>
        </w:rPr>
        <w:t xml:space="preserve"> </w:t>
      </w:r>
      <w:r w:rsidR="00AE2FBD">
        <w:rPr>
          <w:rFonts w:cs="Arial"/>
          <w:bCs/>
          <w:sz w:val="24"/>
          <w:szCs w:val="24"/>
        </w:rPr>
        <w:t xml:space="preserve">qui </w:t>
      </w:r>
      <w:r w:rsidR="00AE2FBD" w:rsidRPr="00B870FA">
        <w:rPr>
          <w:rFonts w:cs="Arial"/>
          <w:bCs/>
          <w:sz w:val="24"/>
          <w:szCs w:val="24"/>
        </w:rPr>
        <w:t>intègre la publication proactive de données</w:t>
      </w:r>
      <w:r w:rsidR="00AE2FBD">
        <w:rPr>
          <w:rFonts w:cs="Arial"/>
          <w:bCs/>
          <w:sz w:val="24"/>
          <w:szCs w:val="24"/>
        </w:rPr>
        <w:t xml:space="preserve"> et a été</w:t>
      </w:r>
      <w:r w:rsidR="00757889" w:rsidRPr="00757889">
        <w:rPr>
          <w:sz w:val="24"/>
          <w:szCs w:val="24"/>
        </w:rPr>
        <w:t xml:space="preserve"> </w:t>
      </w:r>
      <w:r w:rsidR="00041664">
        <w:rPr>
          <w:sz w:val="24"/>
          <w:szCs w:val="24"/>
        </w:rPr>
        <w:t xml:space="preserve">votée par l’Assemblée des </w:t>
      </w:r>
      <w:r w:rsidR="00041664">
        <w:rPr>
          <w:sz w:val="24"/>
          <w:szCs w:val="24"/>
        </w:rPr>
        <w:lastRenderedPageBreak/>
        <w:t>Représentants du Peuple</w:t>
      </w:r>
      <w:r w:rsidR="00757889">
        <w:rPr>
          <w:sz w:val="24"/>
          <w:szCs w:val="24"/>
        </w:rPr>
        <w:t xml:space="preserve"> (ARP)</w:t>
      </w:r>
      <w:r w:rsidR="00041664">
        <w:rPr>
          <w:sz w:val="24"/>
          <w:szCs w:val="24"/>
        </w:rPr>
        <w:t xml:space="preserve"> </w:t>
      </w:r>
      <w:r w:rsidR="00757889">
        <w:rPr>
          <w:sz w:val="24"/>
          <w:szCs w:val="24"/>
        </w:rPr>
        <w:t>le</w:t>
      </w:r>
      <w:r w:rsidR="00757889" w:rsidRPr="00757889">
        <w:rPr>
          <w:sz w:val="24"/>
          <w:szCs w:val="24"/>
        </w:rPr>
        <w:t xml:space="preserve"> </w:t>
      </w:r>
      <w:r w:rsidR="00F056E2">
        <w:rPr>
          <w:sz w:val="24"/>
          <w:szCs w:val="24"/>
        </w:rPr>
        <w:t>11</w:t>
      </w:r>
      <w:r w:rsidR="00757889" w:rsidRPr="00757889">
        <w:rPr>
          <w:sz w:val="24"/>
          <w:szCs w:val="24"/>
        </w:rPr>
        <w:t xml:space="preserve"> </w:t>
      </w:r>
      <w:r w:rsidR="00920C2E">
        <w:rPr>
          <w:sz w:val="24"/>
          <w:szCs w:val="24"/>
        </w:rPr>
        <w:t>M</w:t>
      </w:r>
      <w:r w:rsidR="00757889" w:rsidRPr="00757889">
        <w:rPr>
          <w:sz w:val="24"/>
          <w:szCs w:val="24"/>
        </w:rPr>
        <w:t>ars</w:t>
      </w:r>
      <w:r w:rsidR="00041664">
        <w:rPr>
          <w:sz w:val="24"/>
          <w:szCs w:val="24"/>
        </w:rPr>
        <w:t xml:space="preserve"> 2016.</w:t>
      </w:r>
      <w:r w:rsidR="00757889">
        <w:rPr>
          <w:sz w:val="24"/>
          <w:szCs w:val="24"/>
        </w:rPr>
        <w:t xml:space="preserve"> Les membres de l’Instance d’accès à l’information qui a été créé par cette loi ont été élus par l’ARP en juillet 2017. </w:t>
      </w:r>
    </w:p>
    <w:p w14:paraId="25FD8A7A" w14:textId="635DE5B8" w:rsidR="00110B69" w:rsidRDefault="00110B69" w:rsidP="004C4146">
      <w:pPr>
        <w:jc w:val="both"/>
        <w:rPr>
          <w:sz w:val="24"/>
          <w:szCs w:val="24"/>
        </w:rPr>
      </w:pPr>
      <w:r>
        <w:rPr>
          <w:sz w:val="24"/>
          <w:szCs w:val="24"/>
        </w:rPr>
        <w:t>Concernant le deuxième point, plusieurs réformes mené</w:t>
      </w:r>
      <w:r w:rsidR="00452BD4">
        <w:rPr>
          <w:sz w:val="24"/>
          <w:szCs w:val="24"/>
        </w:rPr>
        <w:t>e</w:t>
      </w:r>
      <w:r>
        <w:rPr>
          <w:sz w:val="24"/>
          <w:szCs w:val="24"/>
        </w:rPr>
        <w:t xml:space="preserve">s par </w:t>
      </w:r>
      <w:r w:rsidR="00757889">
        <w:rPr>
          <w:sz w:val="24"/>
          <w:szCs w:val="24"/>
        </w:rPr>
        <w:t xml:space="preserve">la </w:t>
      </w:r>
      <w:r>
        <w:rPr>
          <w:sz w:val="24"/>
          <w:szCs w:val="24"/>
        </w:rPr>
        <w:t xml:space="preserve"> Direction Générale des Réformes et Prospectives Administratives (DGRPA) sont en cours, incluant notamment l’implémentation de la nouvelle loi d’accès à l’information et la mise en place du réseau des chargés d’accès à l’information. Une grande réforme budgétaire est également en cours et consiste à la mise en place de la Gestion du Budget par Objectifs (GBO)  qui nécessitera une analyse fine des performances des agences et ministères.</w:t>
      </w:r>
    </w:p>
    <w:p w14:paraId="20FD9F78" w14:textId="5031A598" w:rsidR="00110B69" w:rsidRDefault="00110B69" w:rsidP="004C4146">
      <w:pPr>
        <w:jc w:val="both"/>
        <w:rPr>
          <w:sz w:val="24"/>
          <w:szCs w:val="24"/>
        </w:rPr>
      </w:pPr>
      <w:r>
        <w:rPr>
          <w:sz w:val="24"/>
          <w:szCs w:val="24"/>
        </w:rPr>
        <w:t>Concernant le développement des TICs, de nombreuses initiatives sont prises par le Ministère des Technologies de la Communication et de l’Economie Numérique (MTCEN). Ces initiatives incluent à la fois le support et la promotion des startups au travers notamment d’incitations fiscales, et le développement des infrastructures du pays en particulier le haut-débit et la couverture des dernières zones blanches, pour assurer une couverture nationale complète. Le MTCEN supporte également techniquement et financièrement (fonds des TIC) les projets TIC au sein du gouvernement.</w:t>
      </w:r>
    </w:p>
    <w:p w14:paraId="4151BAAE" w14:textId="37D6C17D" w:rsidR="004C4146" w:rsidRDefault="004C4146" w:rsidP="004C4146">
      <w:pPr>
        <w:jc w:val="both"/>
        <w:rPr>
          <w:rFonts w:cs="Arial"/>
          <w:bCs/>
          <w:sz w:val="24"/>
          <w:szCs w:val="24"/>
        </w:rPr>
      </w:pPr>
      <w:r>
        <w:rPr>
          <w:rFonts w:cs="Arial"/>
          <w:bCs/>
          <w:sz w:val="24"/>
          <w:szCs w:val="24"/>
        </w:rPr>
        <w:t>C</w:t>
      </w:r>
      <w:r w:rsidR="00A32E74">
        <w:rPr>
          <w:rFonts w:cs="Arial"/>
          <w:bCs/>
          <w:sz w:val="24"/>
          <w:szCs w:val="24"/>
        </w:rPr>
        <w:t xml:space="preserve">oncernant le développement </w:t>
      </w:r>
      <w:r w:rsidR="00F66B79">
        <w:rPr>
          <w:rFonts w:cs="Arial"/>
          <w:bCs/>
          <w:sz w:val="24"/>
          <w:szCs w:val="24"/>
        </w:rPr>
        <w:t>d</w:t>
      </w:r>
      <w:r>
        <w:rPr>
          <w:rFonts w:cs="Arial"/>
          <w:bCs/>
          <w:sz w:val="24"/>
          <w:szCs w:val="24"/>
        </w:rPr>
        <w:t>e l’initiative</w:t>
      </w:r>
      <w:r w:rsidR="00F66B79">
        <w:rPr>
          <w:rFonts w:cs="Arial"/>
          <w:bCs/>
          <w:sz w:val="24"/>
          <w:szCs w:val="24"/>
        </w:rPr>
        <w:t xml:space="preserve"> d’ouverture des données</w:t>
      </w:r>
      <w:r>
        <w:rPr>
          <w:rFonts w:cs="Arial"/>
          <w:bCs/>
          <w:sz w:val="24"/>
          <w:szCs w:val="24"/>
        </w:rPr>
        <w:t xml:space="preserve">, le gouvernement pourra s’appuyer sur un ensemble de forces que la mission a fait clairement ressortir : </w:t>
      </w:r>
    </w:p>
    <w:p w14:paraId="09DFFF08" w14:textId="2328F60D" w:rsidR="00673135" w:rsidRDefault="00673135" w:rsidP="00D5699E">
      <w:pPr>
        <w:pStyle w:val="Paragraphedeliste"/>
        <w:numPr>
          <w:ilvl w:val="0"/>
          <w:numId w:val="111"/>
        </w:numPr>
        <w:jc w:val="both"/>
        <w:rPr>
          <w:rFonts w:cs="Arial"/>
          <w:bCs/>
          <w:sz w:val="24"/>
          <w:szCs w:val="24"/>
        </w:rPr>
      </w:pPr>
      <w:r>
        <w:rPr>
          <w:rFonts w:cs="Arial"/>
          <w:bCs/>
          <w:sz w:val="24"/>
          <w:szCs w:val="24"/>
        </w:rPr>
        <w:t>L’Unité de l’Administration Electronique (UAE), rattachée à la Présidence du Gouvernement, est le leader clair et reconnu par l’ensemble des agences et ministères de la mise en œuvre de l’ouverture des données publiques. L’UAE s’appuie aujourd’hui sur un réseau de points focaux Open Data nommé</w:t>
      </w:r>
      <w:r w:rsidR="00452BD4">
        <w:rPr>
          <w:rFonts w:cs="Arial"/>
          <w:bCs/>
          <w:sz w:val="24"/>
          <w:szCs w:val="24"/>
        </w:rPr>
        <w:t>s</w:t>
      </w:r>
      <w:r>
        <w:rPr>
          <w:rFonts w:cs="Arial"/>
          <w:bCs/>
          <w:sz w:val="24"/>
          <w:szCs w:val="24"/>
        </w:rPr>
        <w:t xml:space="preserve"> dans quasiment tous les ministères. Cette structure facilitera la mise en œuvre d’un plan d’action Open Data.</w:t>
      </w:r>
    </w:p>
    <w:p w14:paraId="708D7600" w14:textId="2FEB5012" w:rsidR="00673135" w:rsidRDefault="00673135" w:rsidP="00D5699E">
      <w:pPr>
        <w:pStyle w:val="Paragraphedeliste"/>
        <w:numPr>
          <w:ilvl w:val="0"/>
          <w:numId w:val="111"/>
        </w:numPr>
        <w:jc w:val="both"/>
        <w:rPr>
          <w:rFonts w:cs="Arial"/>
          <w:bCs/>
          <w:sz w:val="24"/>
          <w:szCs w:val="24"/>
        </w:rPr>
      </w:pPr>
      <w:r>
        <w:rPr>
          <w:rFonts w:cs="Arial"/>
          <w:bCs/>
          <w:sz w:val="24"/>
          <w:szCs w:val="24"/>
        </w:rPr>
        <w:t>Le Gouvernement travaille naturellement de façon transversale sur tous les grands projets que ce soit sur les projets TIC ou les projets législatifs. Ce mode de travail facilitera l’implémentation de l’initiative Open Data.</w:t>
      </w:r>
    </w:p>
    <w:p w14:paraId="5650698B" w14:textId="43ECED4A" w:rsidR="004C4146" w:rsidRPr="00673135" w:rsidRDefault="00F66B79" w:rsidP="00D5699E">
      <w:pPr>
        <w:pStyle w:val="Paragraphedeliste"/>
        <w:numPr>
          <w:ilvl w:val="0"/>
          <w:numId w:val="111"/>
        </w:numPr>
        <w:jc w:val="both"/>
        <w:rPr>
          <w:rFonts w:cs="Arial"/>
          <w:bCs/>
          <w:sz w:val="24"/>
          <w:szCs w:val="24"/>
        </w:rPr>
      </w:pPr>
      <w:r w:rsidRPr="00F66B79">
        <w:rPr>
          <w:rFonts w:cs="Arial"/>
          <w:bCs/>
          <w:sz w:val="24"/>
          <w:szCs w:val="24"/>
        </w:rPr>
        <w:t xml:space="preserve">Un ensemble de Ministères sont clairement précurseurs dans la publication de données et gère aujourd’hui leur propre portail ouvert. </w:t>
      </w:r>
      <w:r w:rsidR="004C4146" w:rsidRPr="00F66B79">
        <w:rPr>
          <w:rFonts w:cs="Arial"/>
          <w:bCs/>
          <w:sz w:val="24"/>
          <w:szCs w:val="24"/>
        </w:rPr>
        <w:t>D’autre</w:t>
      </w:r>
      <w:r w:rsidRPr="00F66B79">
        <w:rPr>
          <w:rFonts w:cs="Arial"/>
          <w:bCs/>
          <w:sz w:val="24"/>
          <w:szCs w:val="24"/>
        </w:rPr>
        <w:t xml:space="preserve">s, en particulier ceux en charge d’un engagement dans le plan d’action du PGO comme le Ministère </w:t>
      </w:r>
      <w:r w:rsidR="00AE2DBC" w:rsidRPr="00F66B79">
        <w:rPr>
          <w:rFonts w:cs="Arial"/>
          <w:bCs/>
          <w:sz w:val="24"/>
          <w:szCs w:val="24"/>
        </w:rPr>
        <w:t>d</w:t>
      </w:r>
      <w:r w:rsidR="00AE2DBC">
        <w:rPr>
          <w:rFonts w:cs="Arial"/>
          <w:bCs/>
          <w:sz w:val="24"/>
          <w:szCs w:val="24"/>
        </w:rPr>
        <w:t>u</w:t>
      </w:r>
      <w:r w:rsidR="00AE2DBC" w:rsidRPr="00F66B79">
        <w:rPr>
          <w:rFonts w:cs="Arial"/>
          <w:bCs/>
          <w:sz w:val="24"/>
          <w:szCs w:val="24"/>
        </w:rPr>
        <w:t xml:space="preserve"> </w:t>
      </w:r>
      <w:r w:rsidRPr="00F66B79">
        <w:rPr>
          <w:rFonts w:cs="Arial"/>
          <w:bCs/>
          <w:sz w:val="24"/>
          <w:szCs w:val="24"/>
        </w:rPr>
        <w:t>Transport ou le Ministère des Affaires Locales et de l’Environnement</w:t>
      </w:r>
      <w:r w:rsidR="004C4146" w:rsidRPr="00F66B79">
        <w:rPr>
          <w:rFonts w:cs="Arial"/>
          <w:bCs/>
          <w:sz w:val="24"/>
          <w:szCs w:val="24"/>
        </w:rPr>
        <w:t xml:space="preserve"> </w:t>
      </w:r>
      <w:r w:rsidRPr="00F66B79">
        <w:rPr>
          <w:rFonts w:cs="Arial"/>
          <w:bCs/>
          <w:sz w:val="24"/>
          <w:szCs w:val="24"/>
        </w:rPr>
        <w:t xml:space="preserve">sont en train de rejoindre le mouvement. </w:t>
      </w:r>
      <w:r>
        <w:rPr>
          <w:sz w:val="24"/>
        </w:rPr>
        <w:t>Le développement de l’initiative Open Data fournira un cadre fédérateur dans lequel toutes ces initiatives individuelles pourront s’inscrire et publier leur</w:t>
      </w:r>
      <w:r w:rsidR="006D34E3">
        <w:rPr>
          <w:sz w:val="24"/>
        </w:rPr>
        <w:t>s</w:t>
      </w:r>
      <w:r>
        <w:rPr>
          <w:sz w:val="24"/>
        </w:rPr>
        <w:t xml:space="preserve"> données de façon centralisée et exploitable informatiquement. Elle offrira également un ensemble de ressources centralisées pour les acteurs non-étatiques comme les organisations de la société civile, les chercheurs, les médias, les développeurs et les entrepreneurs dans les TIC leur permettant de développer des </w:t>
      </w:r>
      <w:r>
        <w:rPr>
          <w:sz w:val="24"/>
        </w:rPr>
        <w:lastRenderedPageBreak/>
        <w:t>services innovants pour les citoyens et de les informer sur les affaires de l’Etat.</w:t>
      </w:r>
      <w:r w:rsidR="00673135">
        <w:rPr>
          <w:sz w:val="24"/>
        </w:rPr>
        <w:t xml:space="preserve"> Il est à noter qu’un grand nombre de jeux de données (plus de 400 identifiés sur les différents portails) est déjà disponible et représente une masse critique sur laquelle s’appuyer pour développer </w:t>
      </w:r>
      <w:r w:rsidR="006B5D45">
        <w:rPr>
          <w:sz w:val="24"/>
        </w:rPr>
        <w:t>les premiers exemples</w:t>
      </w:r>
      <w:r w:rsidR="00673135">
        <w:rPr>
          <w:sz w:val="24"/>
        </w:rPr>
        <w:t xml:space="preserve"> de réutilisation et d’impact. </w:t>
      </w:r>
    </w:p>
    <w:p w14:paraId="62359EB8" w14:textId="65C0789A" w:rsidR="00673135" w:rsidRPr="00673135" w:rsidRDefault="00673135" w:rsidP="00D5699E">
      <w:pPr>
        <w:pStyle w:val="Paragraphedeliste"/>
        <w:numPr>
          <w:ilvl w:val="0"/>
          <w:numId w:val="111"/>
        </w:numPr>
        <w:jc w:val="both"/>
        <w:rPr>
          <w:sz w:val="24"/>
        </w:rPr>
      </w:pPr>
      <w:r w:rsidRPr="00673135">
        <w:rPr>
          <w:sz w:val="24"/>
        </w:rPr>
        <w:t>Sur le plan du cadre légal, la Tunisie dispose d’un cadre législatif adapté à l’Open Data et notamment la nouvelle loi d’accès à l’information qui est reconnue comme une des meilleur</w:t>
      </w:r>
      <w:r w:rsidR="00F842F2">
        <w:rPr>
          <w:sz w:val="24"/>
        </w:rPr>
        <w:t>e</w:t>
      </w:r>
      <w:r w:rsidRPr="00673135">
        <w:rPr>
          <w:sz w:val="24"/>
        </w:rPr>
        <w:t>s au monde. De nombreuses lois, comme la nouvelle loi de protection des données personnelles, la future loi sur la classification des données informatiques, viendront compléter et renforcer cet arsenal législatif.</w:t>
      </w:r>
    </w:p>
    <w:p w14:paraId="6D18D892" w14:textId="0211A69E" w:rsidR="00673135" w:rsidRPr="00673135" w:rsidRDefault="00673135" w:rsidP="00D5699E">
      <w:pPr>
        <w:pStyle w:val="Paragraphedeliste"/>
        <w:numPr>
          <w:ilvl w:val="0"/>
          <w:numId w:val="111"/>
        </w:numPr>
        <w:jc w:val="both"/>
        <w:rPr>
          <w:sz w:val="24"/>
        </w:rPr>
      </w:pPr>
      <w:r w:rsidRPr="00673135">
        <w:rPr>
          <w:sz w:val="24"/>
        </w:rPr>
        <w:t xml:space="preserve">Du côté des acteurs non-gouvernementaux, la Tunisie possède également tous les atouts nécessaires pour tirer profit de l’ouverture des données. Le secteur des TIC est développé et forme de nombreux étudiants à des </w:t>
      </w:r>
      <w:r w:rsidR="00D47317" w:rsidRPr="00673135">
        <w:rPr>
          <w:sz w:val="24"/>
        </w:rPr>
        <w:t>niveaux</w:t>
      </w:r>
      <w:r w:rsidRPr="00673135">
        <w:rPr>
          <w:sz w:val="24"/>
        </w:rPr>
        <w:t xml:space="preserve"> élevés, la communauté des développeurs est très active avec l’organisation d’un très grand nombre d’événements comme des hackathons sur des sujets et des secteurs très variés, et de nombreux centres d’innovation (espace de co-working, incubateurs) existent à Tunis. </w:t>
      </w:r>
      <w:r>
        <w:rPr>
          <w:sz w:val="24"/>
        </w:rPr>
        <w:t>Enfin,</w:t>
      </w:r>
      <w:r w:rsidRPr="00673135">
        <w:rPr>
          <w:sz w:val="24"/>
        </w:rPr>
        <w:t xml:space="preserve"> les </w:t>
      </w:r>
      <w:r w:rsidR="009514A2" w:rsidRPr="00673135">
        <w:rPr>
          <w:sz w:val="24"/>
        </w:rPr>
        <w:t>co</w:t>
      </w:r>
      <w:r w:rsidR="009514A2">
        <w:rPr>
          <w:sz w:val="24"/>
        </w:rPr>
        <w:t>û</w:t>
      </w:r>
      <w:r w:rsidR="009514A2" w:rsidRPr="00673135">
        <w:rPr>
          <w:sz w:val="24"/>
        </w:rPr>
        <w:t xml:space="preserve">ts </w:t>
      </w:r>
      <w:r w:rsidRPr="00673135">
        <w:rPr>
          <w:sz w:val="24"/>
        </w:rPr>
        <w:t xml:space="preserve">d’accès et de connectivité </w:t>
      </w:r>
      <w:r>
        <w:rPr>
          <w:sz w:val="24"/>
        </w:rPr>
        <w:t xml:space="preserve">à Internet </w:t>
      </w:r>
      <w:r w:rsidRPr="00673135">
        <w:rPr>
          <w:sz w:val="24"/>
        </w:rPr>
        <w:t>sont très bas et dépasse largement les objectifs des Nations Unies sur ce sujet</w:t>
      </w:r>
      <w:r w:rsidR="00BE127A">
        <w:rPr>
          <w:sz w:val="24"/>
        </w:rPr>
        <w:t xml:space="preserve"> (&lt;5% du revenu annuel des ménages)</w:t>
      </w:r>
      <w:r w:rsidRPr="00673135">
        <w:rPr>
          <w:sz w:val="24"/>
        </w:rPr>
        <w:t xml:space="preserve">. </w:t>
      </w:r>
    </w:p>
    <w:p w14:paraId="44503578" w14:textId="051C7972" w:rsidR="00673135" w:rsidRPr="00F66B79" w:rsidRDefault="00BE127A" w:rsidP="00D5699E">
      <w:pPr>
        <w:pStyle w:val="Paragraphedeliste"/>
        <w:numPr>
          <w:ilvl w:val="0"/>
          <w:numId w:val="111"/>
        </w:numPr>
        <w:jc w:val="both"/>
        <w:rPr>
          <w:rFonts w:cs="Arial"/>
          <w:bCs/>
          <w:sz w:val="24"/>
          <w:szCs w:val="24"/>
        </w:rPr>
      </w:pPr>
      <w:r>
        <w:rPr>
          <w:sz w:val="24"/>
        </w:rPr>
        <w:t xml:space="preserve">Enfin, plusieurs sources de financement </w:t>
      </w:r>
      <w:r w:rsidR="006B5D45">
        <w:rPr>
          <w:sz w:val="24"/>
        </w:rPr>
        <w:t>du futur plan</w:t>
      </w:r>
      <w:r>
        <w:rPr>
          <w:sz w:val="24"/>
        </w:rPr>
        <w:t xml:space="preserve"> d’action sont clairement identifiées. De plus, la plupart des ministères précurseurs sur la publication de données utilisent aujourd’hui leurs fonds budgétaires propres pour ces activités, permettant d’envisager positivement la pérennité de l’initiative sur le long terme</w:t>
      </w:r>
    </w:p>
    <w:p w14:paraId="169EEFD6" w14:textId="7357F796" w:rsidR="00BE127A" w:rsidRPr="00BE127A" w:rsidRDefault="00BE127A" w:rsidP="00BE127A">
      <w:pPr>
        <w:ind w:left="360"/>
        <w:jc w:val="both"/>
        <w:rPr>
          <w:sz w:val="24"/>
        </w:rPr>
      </w:pPr>
      <w:r w:rsidRPr="00BE127A">
        <w:rPr>
          <w:sz w:val="24"/>
        </w:rPr>
        <w:t xml:space="preserve">L’ensemble de ces éléments fournit donc des fondations solides pour le développement de l’initiative d’ouverture des </w:t>
      </w:r>
      <w:r w:rsidR="009352D9">
        <w:rPr>
          <w:sz w:val="24"/>
        </w:rPr>
        <w:t>données gouvern</w:t>
      </w:r>
      <w:r w:rsidR="00F1700D">
        <w:rPr>
          <w:sz w:val="24"/>
        </w:rPr>
        <w:t>e</w:t>
      </w:r>
      <w:r w:rsidR="009352D9">
        <w:rPr>
          <w:sz w:val="24"/>
        </w:rPr>
        <w:t>mentales</w:t>
      </w:r>
      <w:r w:rsidR="00C11E81">
        <w:rPr>
          <w:sz w:val="24"/>
        </w:rPr>
        <w:t xml:space="preserve"> </w:t>
      </w:r>
      <w:r w:rsidRPr="00BE127A">
        <w:rPr>
          <w:sz w:val="24"/>
        </w:rPr>
        <w:t xml:space="preserve">à court terme. </w:t>
      </w:r>
    </w:p>
    <w:p w14:paraId="43815398" w14:textId="77777777" w:rsidR="00BE127A" w:rsidRDefault="00BE127A" w:rsidP="00BE127A">
      <w:pPr>
        <w:jc w:val="both"/>
        <w:rPr>
          <w:sz w:val="24"/>
        </w:rPr>
      </w:pPr>
      <w:r>
        <w:rPr>
          <w:sz w:val="24"/>
        </w:rPr>
        <w:t xml:space="preserve">Toutefois, un certain nombre de défis devront être résolus. Cinq principaux ressortent de l’étude : </w:t>
      </w:r>
    </w:p>
    <w:p w14:paraId="5370C848" w14:textId="2442B417" w:rsidR="00BE127A" w:rsidRDefault="00BE127A" w:rsidP="00D5699E">
      <w:pPr>
        <w:pStyle w:val="Paragraphedeliste"/>
        <w:numPr>
          <w:ilvl w:val="0"/>
          <w:numId w:val="113"/>
        </w:numPr>
        <w:jc w:val="both"/>
        <w:rPr>
          <w:sz w:val="24"/>
        </w:rPr>
      </w:pPr>
      <w:r>
        <w:rPr>
          <w:b/>
          <w:sz w:val="24"/>
        </w:rPr>
        <w:t>La sensibilisation et le renforcement des capacités au sein des agences ministérielles</w:t>
      </w:r>
      <w:r>
        <w:rPr>
          <w:sz w:val="24"/>
        </w:rPr>
        <w:t xml:space="preserve"> : il est clair que le concept d’Open Data n’est pas maitrisé dans </w:t>
      </w:r>
      <w:r w:rsidR="00452BD4">
        <w:rPr>
          <w:sz w:val="24"/>
        </w:rPr>
        <w:t>la plupart</w:t>
      </w:r>
      <w:r>
        <w:rPr>
          <w:sz w:val="24"/>
        </w:rPr>
        <w:t xml:space="preserve"> des ministères et des structures rencontrés. Il n’y a pas de compréhension claire de la différence entre information et données, entre publication sur un site Web et publication sur un portail de données, ou entre données brutes et statistiques.</w:t>
      </w:r>
      <w:r w:rsidR="002C10C1">
        <w:rPr>
          <w:sz w:val="24"/>
        </w:rPr>
        <w:t xml:space="preserve"> De plus, </w:t>
      </w:r>
      <w:r w:rsidR="002C10C1" w:rsidRPr="002C10C1">
        <w:rPr>
          <w:sz w:val="24"/>
        </w:rPr>
        <w:t xml:space="preserve">les données </w:t>
      </w:r>
      <w:r w:rsidR="002C10C1">
        <w:rPr>
          <w:sz w:val="24"/>
        </w:rPr>
        <w:t xml:space="preserve">publiées </w:t>
      </w:r>
      <w:r w:rsidR="002C10C1" w:rsidRPr="002C10C1">
        <w:rPr>
          <w:sz w:val="24"/>
        </w:rPr>
        <w:t xml:space="preserve">sur les portails de données ne </w:t>
      </w:r>
      <w:r w:rsidR="002C10C1">
        <w:rPr>
          <w:sz w:val="24"/>
        </w:rPr>
        <w:t>répondent pas forcement aux critères</w:t>
      </w:r>
      <w:r w:rsidR="002C10C1" w:rsidRPr="002C10C1">
        <w:rPr>
          <w:sz w:val="24"/>
        </w:rPr>
        <w:t xml:space="preserve"> de l’Open Data</w:t>
      </w:r>
      <w:r w:rsidR="00920C2E">
        <w:rPr>
          <w:sz w:val="24"/>
        </w:rPr>
        <w:t xml:space="preserve"> (par exemple lien vers des formulaires plutôt que vers les données elle-même, ne permettant pas une exploitation informatique)</w:t>
      </w:r>
      <w:r w:rsidR="002C10C1">
        <w:rPr>
          <w:sz w:val="24"/>
        </w:rPr>
        <w:t>.</w:t>
      </w:r>
      <w:r>
        <w:rPr>
          <w:sz w:val="24"/>
        </w:rPr>
        <w:t xml:space="preserve"> Les acteurs rencontrés ne sont également pas </w:t>
      </w:r>
      <w:r w:rsidR="006B5D45">
        <w:rPr>
          <w:sz w:val="24"/>
        </w:rPr>
        <w:t>sensibilisés</w:t>
      </w:r>
      <w:r>
        <w:rPr>
          <w:sz w:val="24"/>
        </w:rPr>
        <w:t xml:space="preserve"> aux opportunités qu’offre l’Open Data, en termes de développement économique et social du pays </w:t>
      </w:r>
      <w:r w:rsidR="00452BD4">
        <w:rPr>
          <w:sz w:val="24"/>
        </w:rPr>
        <w:t>mais également en tant qu’outil</w:t>
      </w:r>
      <w:r>
        <w:rPr>
          <w:sz w:val="24"/>
        </w:rPr>
        <w:t xml:space="preserve"> de travail interne. Ils ont également une perception erronée des risques </w:t>
      </w:r>
      <w:r>
        <w:rPr>
          <w:sz w:val="24"/>
        </w:rPr>
        <w:lastRenderedPageBreak/>
        <w:t xml:space="preserve">potentiels, ainsi que de la charge de travail afférente à la publication. Il sera indispensable de mener des actions de sensibilisation à plusieurs niveaux depuis le Ministre jusqu’aux chargés d’accès à l’information, chargés d’Open Data et aux équipes techniques en passant par l’administration intermédiaire (Directeurs Généraux, Directeurs et sous-directeurs).  </w:t>
      </w:r>
    </w:p>
    <w:p w14:paraId="28C058BC" w14:textId="2E038D94" w:rsidR="00BE127A" w:rsidRDefault="00BE127A" w:rsidP="00D5699E">
      <w:pPr>
        <w:pStyle w:val="Paragraphedeliste"/>
        <w:numPr>
          <w:ilvl w:val="0"/>
          <w:numId w:val="113"/>
        </w:numPr>
        <w:jc w:val="both"/>
        <w:rPr>
          <w:sz w:val="24"/>
        </w:rPr>
      </w:pPr>
      <w:r>
        <w:rPr>
          <w:b/>
          <w:sz w:val="24"/>
        </w:rPr>
        <w:t>Le leadership </w:t>
      </w:r>
      <w:r>
        <w:rPr>
          <w:sz w:val="24"/>
        </w:rPr>
        <w:t>: Les rencontres durant la mission font clairement ressortir que les initiatives au niveau des ministères dépendent aujourd’hui largement de la personnalité des ministres qui peuvent soit créer une dynamique soit la stopper. Cet état de fait est lié au manque d’appui et d’engagement à ce jour des autorités politiques les plus hautes (</w:t>
      </w:r>
      <w:r w:rsidR="009E42EF">
        <w:rPr>
          <w:sz w:val="24"/>
        </w:rPr>
        <w:t>Chef du Gouvernement</w:t>
      </w:r>
      <w:r>
        <w:rPr>
          <w:sz w:val="24"/>
        </w:rPr>
        <w:t>, Président</w:t>
      </w:r>
      <w:r w:rsidR="009E42EF">
        <w:rPr>
          <w:sz w:val="24"/>
        </w:rPr>
        <w:t xml:space="preserve"> de la République</w:t>
      </w:r>
      <w:r>
        <w:rPr>
          <w:sz w:val="24"/>
        </w:rPr>
        <w:t>) sur le sujet.</w:t>
      </w:r>
    </w:p>
    <w:p w14:paraId="7618F152" w14:textId="1E30908E" w:rsidR="00BE127A" w:rsidRDefault="00BE127A" w:rsidP="00D5699E">
      <w:pPr>
        <w:pStyle w:val="Paragraphedeliste"/>
        <w:numPr>
          <w:ilvl w:val="0"/>
          <w:numId w:val="113"/>
        </w:numPr>
        <w:jc w:val="both"/>
        <w:rPr>
          <w:sz w:val="24"/>
        </w:rPr>
      </w:pPr>
      <w:r>
        <w:rPr>
          <w:b/>
          <w:sz w:val="24"/>
        </w:rPr>
        <w:t>La coordination des activités</w:t>
      </w:r>
      <w:r>
        <w:rPr>
          <w:sz w:val="24"/>
        </w:rPr>
        <w:t> : A l’heure actuelle, chaque ministère précurseur développe sa propre initiat</w:t>
      </w:r>
      <w:r w:rsidR="00452BD4">
        <w:rPr>
          <w:sz w:val="24"/>
        </w:rPr>
        <w:t>ive d’ouverture des données sans coordination</w:t>
      </w:r>
      <w:r>
        <w:rPr>
          <w:sz w:val="24"/>
        </w:rPr>
        <w:t xml:space="preserve"> avec les autres ministères ou l’UAE. Ce manque de coordination se traduit par une très grande hétérogénéité entre les plateformes, les standards techniques et les licences adoptées dans les différentes structures, et </w:t>
      </w:r>
      <w:r w:rsidR="00452BD4">
        <w:rPr>
          <w:sz w:val="24"/>
        </w:rPr>
        <w:t>entraine une</w:t>
      </w:r>
      <w:r>
        <w:rPr>
          <w:sz w:val="24"/>
        </w:rPr>
        <w:t xml:space="preserve"> duplication d’efforts dans les investissements à la fois humain et financier. </w:t>
      </w:r>
    </w:p>
    <w:p w14:paraId="35EECC81" w14:textId="6EA1D540" w:rsidR="00BE127A" w:rsidRDefault="00BE127A" w:rsidP="00D5699E">
      <w:pPr>
        <w:pStyle w:val="Paragraphedeliste"/>
        <w:numPr>
          <w:ilvl w:val="0"/>
          <w:numId w:val="113"/>
        </w:numPr>
        <w:jc w:val="both"/>
        <w:rPr>
          <w:sz w:val="24"/>
        </w:rPr>
      </w:pPr>
      <w:r>
        <w:rPr>
          <w:b/>
          <w:sz w:val="24"/>
        </w:rPr>
        <w:t>Le cadre réglementaire et législatif</w:t>
      </w:r>
      <w:r>
        <w:rPr>
          <w:sz w:val="24"/>
        </w:rPr>
        <w:t> : Si le cadre législatif est approprié pour l’Open Data, il est en pleine mutation. La loi d’accès à l’information n’a pas encore de décret d’application, et de nombreuses lois qui ont un impact sur l’Open Data sont en cours de discussion. Il conviendra donc d’être très attentif à ces différentes législations à venir, et s’assurer qu’elles contribuent efficacement au développement de l’Open Data et ne crée</w:t>
      </w:r>
      <w:r w:rsidR="009514A2">
        <w:rPr>
          <w:sz w:val="24"/>
        </w:rPr>
        <w:t>nt</w:t>
      </w:r>
      <w:r>
        <w:rPr>
          <w:sz w:val="24"/>
        </w:rPr>
        <w:t xml:space="preserve"> ni obstacle ni frein au développement de l’initiative d’ouverture.</w:t>
      </w:r>
    </w:p>
    <w:p w14:paraId="25283221" w14:textId="574FFAEB" w:rsidR="00BE127A" w:rsidRDefault="00BE127A" w:rsidP="00D5699E">
      <w:pPr>
        <w:pStyle w:val="Paragraphedeliste"/>
        <w:numPr>
          <w:ilvl w:val="0"/>
          <w:numId w:val="113"/>
        </w:numPr>
        <w:jc w:val="both"/>
        <w:rPr>
          <w:sz w:val="24"/>
        </w:rPr>
      </w:pPr>
      <w:r>
        <w:rPr>
          <w:b/>
          <w:sz w:val="24"/>
        </w:rPr>
        <w:t>La coordination avec les acteurs non-étatiques (société civile, média, secteur privé des TIC, développeurs informatiques, chercheurs, etc.)</w:t>
      </w:r>
      <w:r>
        <w:rPr>
          <w:sz w:val="24"/>
        </w:rPr>
        <w:t xml:space="preserve"> :</w:t>
      </w:r>
      <w:r>
        <w:t xml:space="preserve">  </w:t>
      </w:r>
      <w:r>
        <w:rPr>
          <w:sz w:val="24"/>
          <w:szCs w:val="24"/>
        </w:rPr>
        <w:t xml:space="preserve">Une des raisons majeures du manque d’impact de l’ouverture des données qui est déjà en place est liée au manque de coordination et de communication entre les acteurs gouvernementaux et les acteurs non-gouvernementaux. La quasi-totalité des activités des acteurs non-gouvernementaux n’intègre pas l’utilisation des données publiques. Plusieurs acteurs rencontrés ont </w:t>
      </w:r>
      <w:r w:rsidR="006B5D45">
        <w:rPr>
          <w:sz w:val="24"/>
          <w:szCs w:val="24"/>
        </w:rPr>
        <w:t>souligné</w:t>
      </w:r>
      <w:r>
        <w:rPr>
          <w:sz w:val="24"/>
          <w:szCs w:val="24"/>
        </w:rPr>
        <w:t xml:space="preserve"> </w:t>
      </w:r>
      <w:r w:rsidR="006B5D45">
        <w:rPr>
          <w:sz w:val="24"/>
          <w:szCs w:val="24"/>
        </w:rPr>
        <w:t>la faible valeur</w:t>
      </w:r>
      <w:r>
        <w:rPr>
          <w:sz w:val="24"/>
          <w:szCs w:val="24"/>
        </w:rPr>
        <w:t xml:space="preserve"> des données publiées, et le manque de données utiles. D’un autre côté, les acteurs gouvernementaux sont en demande d’exemple</w:t>
      </w:r>
      <w:r w:rsidR="00452BD4">
        <w:rPr>
          <w:sz w:val="24"/>
          <w:szCs w:val="24"/>
        </w:rPr>
        <w:t>s</w:t>
      </w:r>
      <w:r>
        <w:rPr>
          <w:sz w:val="24"/>
          <w:szCs w:val="24"/>
        </w:rPr>
        <w:t xml:space="preserve"> de réutilisation pour motiver la publication, mais regrettent l’absence de cette demande. Enfin le Ministère des Finances</w:t>
      </w:r>
      <w:r w:rsidR="00F056E2">
        <w:rPr>
          <w:sz w:val="24"/>
          <w:szCs w:val="24"/>
        </w:rPr>
        <w:t>, le Ministère de l’Industrie et des PMEs</w:t>
      </w:r>
      <w:r>
        <w:rPr>
          <w:sz w:val="24"/>
          <w:szCs w:val="24"/>
        </w:rPr>
        <w:t xml:space="preserve"> et le Ministère de l’Energie, des Mines et des Energies Renouvelables soulignent l’impact positif de la mise en place de comités mixtes avec les acteurs </w:t>
      </w:r>
      <w:r w:rsidR="00452BD4">
        <w:rPr>
          <w:sz w:val="24"/>
          <w:szCs w:val="24"/>
        </w:rPr>
        <w:t>non-</w:t>
      </w:r>
      <w:r>
        <w:rPr>
          <w:sz w:val="24"/>
          <w:szCs w:val="24"/>
        </w:rPr>
        <w:t>gouvernementaux qui ont eu une influence positive sur le processus de publication de données. Malheureusement ces deux initiatives n’ont pas été poursuivi</w:t>
      </w:r>
      <w:r w:rsidR="00452BD4">
        <w:rPr>
          <w:sz w:val="24"/>
          <w:szCs w:val="24"/>
        </w:rPr>
        <w:t>es</w:t>
      </w:r>
      <w:r>
        <w:rPr>
          <w:sz w:val="24"/>
          <w:szCs w:val="24"/>
        </w:rPr>
        <w:t xml:space="preserve"> dans le temps suite à des changements ministériels (cf. point 3). Il conviendra donc d’instaurer </w:t>
      </w:r>
      <w:r>
        <w:rPr>
          <w:sz w:val="24"/>
          <w:szCs w:val="24"/>
        </w:rPr>
        <w:lastRenderedPageBreak/>
        <w:t xml:space="preserve">un cadre pérenne pour un dialogue soutenu entre les acteurs non-gouvernementaux et l’administration. </w:t>
      </w:r>
    </w:p>
    <w:p w14:paraId="1217D77C" w14:textId="020D33E4" w:rsidR="00BE127A" w:rsidRDefault="009514A2" w:rsidP="00BE127A">
      <w:pPr>
        <w:jc w:val="both"/>
        <w:rPr>
          <w:sz w:val="24"/>
        </w:rPr>
      </w:pPr>
      <w:r>
        <w:rPr>
          <w:sz w:val="24"/>
        </w:rPr>
        <w:t>Outre</w:t>
      </w:r>
      <w:r w:rsidR="00BE127A">
        <w:rPr>
          <w:sz w:val="24"/>
        </w:rPr>
        <w:t xml:space="preserve"> ces cinq points majeurs, l’initiative d’ouverture des données p</w:t>
      </w:r>
      <w:r w:rsidR="00452BD4">
        <w:rPr>
          <w:sz w:val="24"/>
        </w:rPr>
        <w:t>ubliques bénéficierait également</w:t>
      </w:r>
      <w:r w:rsidR="00BE127A">
        <w:rPr>
          <w:sz w:val="24"/>
        </w:rPr>
        <w:t xml:space="preserve"> de la mise en place d’un inventaire de données ainsi que d’un référentiel de données pour faciliter à la fois la publication des données, et </w:t>
      </w:r>
      <w:r w:rsidR="006B5D45">
        <w:rPr>
          <w:sz w:val="24"/>
        </w:rPr>
        <w:t>leurs réutilisations</w:t>
      </w:r>
      <w:r w:rsidR="00BE127A">
        <w:rPr>
          <w:sz w:val="24"/>
        </w:rPr>
        <w:t>.</w:t>
      </w:r>
    </w:p>
    <w:p w14:paraId="44941F9E" w14:textId="0498AA97" w:rsidR="00BE127A" w:rsidRDefault="004C4146" w:rsidP="00BE127A">
      <w:pPr>
        <w:jc w:val="both"/>
        <w:rPr>
          <w:sz w:val="24"/>
        </w:rPr>
      </w:pPr>
      <w:r>
        <w:rPr>
          <w:sz w:val="24"/>
        </w:rPr>
        <w:t xml:space="preserve">Afin de résoudre ces défis, cette étude propose un plan d’actions qui est détaillé selon chacun des 8 thèmes de la méthodologie ODRA dans la dernière section de ce rapport. </w:t>
      </w:r>
      <w:r w:rsidR="00BE127A">
        <w:rPr>
          <w:sz w:val="24"/>
        </w:rPr>
        <w:t xml:space="preserve">De façon synthétique, en agençant les points selon les responsabilités des différents acteurs, il s’articule autour de 3 axes principaux : </w:t>
      </w:r>
      <w:r w:rsidR="00F1700D">
        <w:rPr>
          <w:sz w:val="24"/>
        </w:rPr>
        <w:t xml:space="preserve">(i) </w:t>
      </w:r>
      <w:r w:rsidR="00BE127A">
        <w:rPr>
          <w:sz w:val="24"/>
        </w:rPr>
        <w:t>le cadre législatif et le leadership, regroupant principalement les dimensions  « leadership » et  « Cadre réglementaire et juridique » de la méthodologie ODRA</w:t>
      </w:r>
      <w:r w:rsidR="00F1700D">
        <w:rPr>
          <w:sz w:val="24"/>
        </w:rPr>
        <w:t> ;</w:t>
      </w:r>
      <w:r w:rsidR="00BE127A">
        <w:rPr>
          <w:sz w:val="24"/>
        </w:rPr>
        <w:t xml:space="preserve">  </w:t>
      </w:r>
      <w:r w:rsidR="00F1700D">
        <w:rPr>
          <w:sz w:val="24"/>
        </w:rPr>
        <w:t xml:space="preserve">(ii) </w:t>
      </w:r>
      <w:r w:rsidR="00BE127A">
        <w:rPr>
          <w:sz w:val="24"/>
        </w:rPr>
        <w:t xml:space="preserve">la mise en œuvre opérationnelle, regroupant principalement les dimensions « Structures institutionnelles, responsabilités et compétences au sein du gouvernement », « Données au sein du gouvernement, Réglementations et procédures de la gestion des données gouvernementales », « Financement d’un programme d’ouverture des </w:t>
      </w:r>
      <w:r w:rsidR="009352D9">
        <w:rPr>
          <w:sz w:val="24"/>
        </w:rPr>
        <w:t>données gouvern</w:t>
      </w:r>
      <w:r w:rsidR="00F1700D">
        <w:rPr>
          <w:sz w:val="24"/>
        </w:rPr>
        <w:t>e</w:t>
      </w:r>
      <w:r w:rsidR="009352D9">
        <w:rPr>
          <w:sz w:val="24"/>
        </w:rPr>
        <w:t>mentales</w:t>
      </w:r>
      <w:r w:rsidR="00BE127A">
        <w:rPr>
          <w:sz w:val="24"/>
        </w:rPr>
        <w:t xml:space="preserve">» et « Infrastructures nationales technologiques et compétences informatiques »  et </w:t>
      </w:r>
      <w:r w:rsidR="00F1700D">
        <w:rPr>
          <w:sz w:val="24"/>
        </w:rPr>
        <w:t xml:space="preserve">(iii) </w:t>
      </w:r>
      <w:r w:rsidR="00BE127A">
        <w:rPr>
          <w:sz w:val="24"/>
        </w:rPr>
        <w:t>les acteurs non-étatiques,</w:t>
      </w:r>
      <w:r w:rsidR="00BE127A">
        <w:t xml:space="preserve"> </w:t>
      </w:r>
      <w:r w:rsidR="00BE127A">
        <w:rPr>
          <w:sz w:val="24"/>
        </w:rPr>
        <w:t>regroupant principalement les dimensions  « Demande concernant l’ouverture des données publiques» et  «  Engagement citoyen et capacités concernant les données publiques ».</w:t>
      </w:r>
    </w:p>
    <w:p w14:paraId="018DC273" w14:textId="6FD52324" w:rsidR="00BE127A" w:rsidRDefault="00BE127A" w:rsidP="00BE127A">
      <w:pPr>
        <w:spacing w:after="0"/>
        <w:jc w:val="both"/>
        <w:rPr>
          <w:sz w:val="24"/>
        </w:rPr>
      </w:pPr>
      <w:r>
        <w:rPr>
          <w:sz w:val="24"/>
        </w:rPr>
        <w:t xml:space="preserve">Concernant le cadre législatif et le leadership, une </w:t>
      </w:r>
      <w:r w:rsidR="006B5D45">
        <w:rPr>
          <w:sz w:val="24"/>
        </w:rPr>
        <w:t>des premières actions</w:t>
      </w:r>
      <w:r>
        <w:rPr>
          <w:sz w:val="24"/>
        </w:rPr>
        <w:t xml:space="preserve"> devrait être l’annonce officielle du lancement d’une initiative d’ouverture des données publiques. Cette annonce officielle permettrait de fédérer l’ensemble des activités en cours et de créer une dynamique. Le poids de cette annonce serait particulièrement important si elle était portée par le Chef du Gouvernement qui donnerait le cap à l’ensemble des Ministres. Le premier chantier de cette initiative devrait être le développement d’une législation spécifique à l’Open Data. Cette législation pourrait prendre la forme d’un décret d’application de la loi d’accès à l’information et devrait comporter plusieurs éléments comme l’ouverture des données par défaut, les licences, la publication sur des portails de données, les standards à utiliser, l’obligation de maintenir un inventaire de données avec un ensemble d’information</w:t>
      </w:r>
      <w:r w:rsidR="009514A2">
        <w:rPr>
          <w:sz w:val="24"/>
        </w:rPr>
        <w:t>s</w:t>
      </w:r>
      <w:r>
        <w:rPr>
          <w:sz w:val="24"/>
        </w:rPr>
        <w:t>, l’obligation de publier un minimum de données ouvertes (les données rendu</w:t>
      </w:r>
      <w:r w:rsidR="009514A2">
        <w:rPr>
          <w:sz w:val="24"/>
        </w:rPr>
        <w:t>es</w:t>
      </w:r>
      <w:r>
        <w:rPr>
          <w:sz w:val="24"/>
        </w:rPr>
        <w:t xml:space="preserve"> obligatoire</w:t>
      </w:r>
      <w:r w:rsidR="009514A2">
        <w:rPr>
          <w:sz w:val="24"/>
        </w:rPr>
        <w:t>s</w:t>
      </w:r>
      <w:r>
        <w:rPr>
          <w:sz w:val="24"/>
        </w:rPr>
        <w:t xml:space="preserve"> par la loi d’accès), et un plan de suivi et </w:t>
      </w:r>
      <w:r w:rsidR="009514A2">
        <w:rPr>
          <w:sz w:val="24"/>
        </w:rPr>
        <w:t>d’</w:t>
      </w:r>
      <w:r>
        <w:rPr>
          <w:sz w:val="24"/>
        </w:rPr>
        <w:t>évaluation à adopter par chaque ministère et au niveau national. Ce décret devrait aussi porter</w:t>
      </w:r>
      <w:r w:rsidR="009514A2">
        <w:rPr>
          <w:sz w:val="24"/>
        </w:rPr>
        <w:t xml:space="preserve"> sur la</w:t>
      </w:r>
      <w:r>
        <w:rPr>
          <w:sz w:val="24"/>
        </w:rPr>
        <w:t xml:space="preserve"> création des différentes structures organisationnelles nécessaires et devrait formaliser la création des points focaux Open Data, avec leur rôle, leur profil, et les interactions avec les </w:t>
      </w:r>
      <w:r w:rsidR="00685AA7">
        <w:rPr>
          <w:sz w:val="24"/>
        </w:rPr>
        <w:t>c</w:t>
      </w:r>
      <w:r>
        <w:rPr>
          <w:sz w:val="24"/>
        </w:rPr>
        <w:t>hargés d’accès</w:t>
      </w:r>
      <w:r w:rsidR="00F1700D">
        <w:rPr>
          <w:sz w:val="24"/>
        </w:rPr>
        <w:t xml:space="preserve"> à l’information</w:t>
      </w:r>
      <w:r>
        <w:rPr>
          <w:sz w:val="24"/>
        </w:rPr>
        <w:t>. Enfin ce décret devrait mentionner la gratuité des données.</w:t>
      </w:r>
    </w:p>
    <w:p w14:paraId="36696548" w14:textId="55C54968" w:rsidR="00BE127A" w:rsidRDefault="00BE127A" w:rsidP="00BE127A">
      <w:pPr>
        <w:spacing w:after="0"/>
        <w:jc w:val="both"/>
        <w:rPr>
          <w:sz w:val="24"/>
        </w:rPr>
      </w:pPr>
      <w:r>
        <w:rPr>
          <w:sz w:val="24"/>
        </w:rPr>
        <w:t>Concernant la mise en œuvre opérationnelle, un comité de pi</w:t>
      </w:r>
      <w:r w:rsidR="00452BD4">
        <w:rPr>
          <w:sz w:val="24"/>
        </w:rPr>
        <w:t>lotage (CoPil) devrait être créé</w:t>
      </w:r>
      <w:r>
        <w:rPr>
          <w:sz w:val="24"/>
        </w:rPr>
        <w:t xml:space="preserve"> pour conduire l’initiative.  Au vu des rencontres lors de la mission, ce CoPil devrait inclure </w:t>
      </w:r>
      <w:r>
        <w:rPr>
          <w:sz w:val="24"/>
        </w:rPr>
        <w:lastRenderedPageBreak/>
        <w:t>l’UAE (leader), l’</w:t>
      </w:r>
      <w:r w:rsidR="00FE2EA1">
        <w:rPr>
          <w:sz w:val="24"/>
          <w:szCs w:val="24"/>
        </w:rPr>
        <w:t>Institut Nationale de la Statistique</w:t>
      </w:r>
      <w:r w:rsidR="00FE2EA1">
        <w:rPr>
          <w:sz w:val="24"/>
        </w:rPr>
        <w:t xml:space="preserve"> (</w:t>
      </w:r>
      <w:r>
        <w:rPr>
          <w:sz w:val="24"/>
        </w:rPr>
        <w:t>INS</w:t>
      </w:r>
      <w:r w:rsidR="00FE2EA1">
        <w:rPr>
          <w:sz w:val="24"/>
        </w:rPr>
        <w:t>)</w:t>
      </w:r>
      <w:r>
        <w:rPr>
          <w:sz w:val="24"/>
        </w:rPr>
        <w:t xml:space="preserve"> pour son expertise dans l’anonymisation des données et dans le référentiel de données, les Archives Nationales pour son expertise dans les plans de classification, Le MTCEN pour la composante TIC et les travaux en cours sur la classification des données informatiques, </w:t>
      </w:r>
      <w:r w:rsidR="00452BD4">
        <w:rPr>
          <w:sz w:val="24"/>
        </w:rPr>
        <w:t xml:space="preserve">et </w:t>
      </w:r>
      <w:r>
        <w:rPr>
          <w:sz w:val="24"/>
        </w:rPr>
        <w:t xml:space="preserve">la DGRPA pour la partie législative. Ce comité pourrait éventuellement également </w:t>
      </w:r>
      <w:r w:rsidR="006B5D45">
        <w:rPr>
          <w:sz w:val="24"/>
        </w:rPr>
        <w:t>intégrer</w:t>
      </w:r>
      <w:r>
        <w:rPr>
          <w:sz w:val="24"/>
        </w:rPr>
        <w:t xml:space="preserve"> un représentant de l’</w:t>
      </w:r>
      <w:r w:rsidR="00452BD4">
        <w:rPr>
          <w:sz w:val="24"/>
        </w:rPr>
        <w:t>Instance Nationale de la Protection des Données Personnelles (</w:t>
      </w:r>
      <w:r>
        <w:rPr>
          <w:sz w:val="24"/>
        </w:rPr>
        <w:t>INPDP</w:t>
      </w:r>
      <w:r w:rsidR="00452BD4">
        <w:rPr>
          <w:sz w:val="24"/>
        </w:rPr>
        <w:t>)</w:t>
      </w:r>
      <w:r>
        <w:rPr>
          <w:sz w:val="24"/>
        </w:rPr>
        <w:t xml:space="preserve"> pour l’anonymisation des données.</w:t>
      </w:r>
    </w:p>
    <w:p w14:paraId="045F5B25" w14:textId="77777777" w:rsidR="00BE127A" w:rsidRDefault="00BE127A" w:rsidP="00BE127A">
      <w:pPr>
        <w:spacing w:after="0"/>
        <w:jc w:val="both"/>
        <w:rPr>
          <w:sz w:val="24"/>
        </w:rPr>
      </w:pPr>
    </w:p>
    <w:p w14:paraId="59384D2B" w14:textId="4FCBF8CD" w:rsidR="00BE127A" w:rsidRDefault="00BE127A" w:rsidP="00BE127A">
      <w:pPr>
        <w:jc w:val="both"/>
        <w:rPr>
          <w:sz w:val="24"/>
        </w:rPr>
      </w:pPr>
      <w:r>
        <w:rPr>
          <w:sz w:val="24"/>
        </w:rPr>
        <w:t xml:space="preserve">Le CoPil formera ensuite des groupes de travail spécifiques par thématique qui seront constitués d’au moins un représentant du comité de pilotage et d’acteurs extérieurs spécifiques à la thématique. Le rôle de ces groupes serait d’implémenter les activités identifiées par le CoPil et de lui rendre compte des résultats. </w:t>
      </w:r>
    </w:p>
    <w:p w14:paraId="5FF54356" w14:textId="54A09DEF" w:rsidR="00BE127A" w:rsidRDefault="00BE127A" w:rsidP="00BE127A">
      <w:pPr>
        <w:jc w:val="both"/>
        <w:rPr>
          <w:sz w:val="24"/>
        </w:rPr>
      </w:pPr>
      <w:r>
        <w:rPr>
          <w:sz w:val="24"/>
        </w:rPr>
        <w:t>Les groupes de travail suivant</w:t>
      </w:r>
      <w:r w:rsidR="009514A2">
        <w:rPr>
          <w:sz w:val="24"/>
        </w:rPr>
        <w:t>s</w:t>
      </w:r>
      <w:r>
        <w:rPr>
          <w:sz w:val="24"/>
        </w:rPr>
        <w:t xml:space="preserve"> pourraient être mis en place :</w:t>
      </w:r>
    </w:p>
    <w:p w14:paraId="5F25167A" w14:textId="77777777" w:rsidR="00BE127A" w:rsidRDefault="00BE127A" w:rsidP="00D5699E">
      <w:pPr>
        <w:pStyle w:val="Paragraphedeliste"/>
        <w:numPr>
          <w:ilvl w:val="0"/>
          <w:numId w:val="112"/>
        </w:numPr>
        <w:jc w:val="both"/>
        <w:rPr>
          <w:sz w:val="24"/>
        </w:rPr>
      </w:pPr>
      <w:r>
        <w:rPr>
          <w:sz w:val="24"/>
        </w:rPr>
        <w:t>Un groupe dédié à la mise en place des éléments relatifs au cadre législatif</w:t>
      </w:r>
    </w:p>
    <w:p w14:paraId="2CDC372A" w14:textId="30D7C50C" w:rsidR="00BE127A" w:rsidRDefault="00BE127A" w:rsidP="00D5699E">
      <w:pPr>
        <w:pStyle w:val="Paragraphedeliste"/>
        <w:numPr>
          <w:ilvl w:val="0"/>
          <w:numId w:val="112"/>
        </w:numPr>
        <w:jc w:val="both"/>
        <w:rPr>
          <w:sz w:val="24"/>
        </w:rPr>
      </w:pPr>
      <w:r>
        <w:rPr>
          <w:sz w:val="24"/>
        </w:rPr>
        <w:t>Un groupe dédié à la publication des données par les agences et ministères. Ce groupe accueillerai</w:t>
      </w:r>
      <w:r w:rsidR="009514A2">
        <w:rPr>
          <w:sz w:val="24"/>
        </w:rPr>
        <w:t>t</w:t>
      </w:r>
      <w:r>
        <w:rPr>
          <w:sz w:val="24"/>
        </w:rPr>
        <w:t xml:space="preserve"> de nouveaux participants au fur et à mesure de l’évolution de l’initiative et de l’intégration de nouvelles agences et ministères. L’objectif de ce groupe sera </w:t>
      </w:r>
      <w:r w:rsidR="006B5D45">
        <w:rPr>
          <w:sz w:val="24"/>
        </w:rPr>
        <w:t>le partage</w:t>
      </w:r>
      <w:r>
        <w:rPr>
          <w:sz w:val="24"/>
        </w:rPr>
        <w:t xml:space="preserve"> d’expérience, la résolution de problèmes et le suivi du plan d’évaluation.</w:t>
      </w:r>
    </w:p>
    <w:p w14:paraId="173D0EDE" w14:textId="5F14AB82" w:rsidR="00BE127A" w:rsidRDefault="00BE127A" w:rsidP="00D5699E">
      <w:pPr>
        <w:pStyle w:val="Paragraphedeliste"/>
        <w:numPr>
          <w:ilvl w:val="0"/>
          <w:numId w:val="112"/>
        </w:numPr>
        <w:jc w:val="both"/>
        <w:rPr>
          <w:sz w:val="24"/>
        </w:rPr>
      </w:pPr>
      <w:r>
        <w:rPr>
          <w:sz w:val="24"/>
        </w:rPr>
        <w:t>Un groupe technique dédié à la sélection d’une plateforme de portail de données qui serait recommandée pour toutes les structures souhaitant mettre en place leur propre portail. Ce groupe serait également en charge du choix des standards techniques. Il rassemblerait des représentants de l’ensemble des équipes techniques ayant déjà participé à la mise en place d’un portail.</w:t>
      </w:r>
    </w:p>
    <w:p w14:paraId="1C700E80" w14:textId="4DEBECD5" w:rsidR="00BE127A" w:rsidRDefault="00BE127A" w:rsidP="00D5699E">
      <w:pPr>
        <w:pStyle w:val="Paragraphedeliste"/>
        <w:numPr>
          <w:ilvl w:val="0"/>
          <w:numId w:val="112"/>
        </w:numPr>
        <w:jc w:val="both"/>
        <w:rPr>
          <w:sz w:val="24"/>
        </w:rPr>
      </w:pPr>
      <w:r>
        <w:rPr>
          <w:sz w:val="24"/>
        </w:rPr>
        <w:t xml:space="preserve">Un groupe en charge de la définition </w:t>
      </w:r>
      <w:r w:rsidR="00E4407E">
        <w:rPr>
          <w:sz w:val="24"/>
        </w:rPr>
        <w:t xml:space="preserve">et de la description (vocabulaires et ontologies) </w:t>
      </w:r>
      <w:r>
        <w:rPr>
          <w:sz w:val="24"/>
        </w:rPr>
        <w:t>des métadonnées obligatoires pour les jeux de données. Ce groupe comprendrai</w:t>
      </w:r>
      <w:r w:rsidR="009514A2">
        <w:rPr>
          <w:sz w:val="24"/>
        </w:rPr>
        <w:t>t</w:t>
      </w:r>
      <w:r>
        <w:rPr>
          <w:sz w:val="24"/>
        </w:rPr>
        <w:t xml:space="preserve"> au minimum les Archives Nationale</w:t>
      </w:r>
      <w:r w:rsidR="00787C42">
        <w:rPr>
          <w:sz w:val="24"/>
        </w:rPr>
        <w:t>s</w:t>
      </w:r>
      <w:r>
        <w:rPr>
          <w:sz w:val="24"/>
        </w:rPr>
        <w:t>, l’ANSI et l’INS</w:t>
      </w:r>
    </w:p>
    <w:p w14:paraId="11E912A7" w14:textId="77777777" w:rsidR="00BE127A" w:rsidRDefault="00BE127A" w:rsidP="00D5699E">
      <w:pPr>
        <w:pStyle w:val="Paragraphedeliste"/>
        <w:numPr>
          <w:ilvl w:val="0"/>
          <w:numId w:val="112"/>
        </w:numPr>
        <w:jc w:val="both"/>
        <w:rPr>
          <w:sz w:val="24"/>
        </w:rPr>
      </w:pPr>
      <w:r>
        <w:rPr>
          <w:sz w:val="24"/>
        </w:rPr>
        <w:t>Un groupe en charge de définition des plans de communications et de sensibilisation ainsi que des plans de formation</w:t>
      </w:r>
    </w:p>
    <w:p w14:paraId="357D5574" w14:textId="37048EAA" w:rsidR="00BE127A" w:rsidRDefault="009514A2" w:rsidP="00BE127A">
      <w:pPr>
        <w:jc w:val="both"/>
        <w:rPr>
          <w:sz w:val="24"/>
        </w:rPr>
      </w:pPr>
      <w:r>
        <w:rPr>
          <w:sz w:val="24"/>
        </w:rPr>
        <w:t>Outre</w:t>
      </w:r>
      <w:r w:rsidR="00BE127A">
        <w:rPr>
          <w:sz w:val="24"/>
        </w:rPr>
        <w:t xml:space="preserve"> ces groupes de travail, le CoPil devrait lancer un ensemble d’activités spécifiques pour appuyer le développement de l’écosystème Open Data. Cinq éléments particuliers ont été identifiés :</w:t>
      </w:r>
    </w:p>
    <w:p w14:paraId="2444133E" w14:textId="595B3B95" w:rsidR="00BE127A" w:rsidRDefault="00BE127A" w:rsidP="00D5699E">
      <w:pPr>
        <w:pStyle w:val="Paragraphedeliste"/>
        <w:numPr>
          <w:ilvl w:val="0"/>
          <w:numId w:val="119"/>
        </w:numPr>
        <w:jc w:val="both"/>
        <w:rPr>
          <w:sz w:val="24"/>
        </w:rPr>
      </w:pPr>
      <w:r>
        <w:rPr>
          <w:b/>
          <w:sz w:val="24"/>
        </w:rPr>
        <w:t>L’inventaire de données</w:t>
      </w:r>
      <w:r>
        <w:rPr>
          <w:sz w:val="24"/>
        </w:rPr>
        <w:t xml:space="preserve"> : </w:t>
      </w:r>
      <w:r w:rsidR="006B5D45">
        <w:rPr>
          <w:sz w:val="24"/>
        </w:rPr>
        <w:t>Un référencement complet</w:t>
      </w:r>
      <w:r>
        <w:rPr>
          <w:sz w:val="24"/>
        </w:rPr>
        <w:t xml:space="preserve"> des jeux de données disponibles au niveau de chaque structure. Cet instrument est essentiel pour organiser la publication des jeux de données sous forme de données </w:t>
      </w:r>
      <w:r w:rsidR="00CD1937">
        <w:rPr>
          <w:sz w:val="24"/>
        </w:rPr>
        <w:t>ouvertes, et pour prioriser le</w:t>
      </w:r>
      <w:r>
        <w:rPr>
          <w:sz w:val="24"/>
        </w:rPr>
        <w:t xml:space="preserve">s </w:t>
      </w:r>
      <w:r>
        <w:rPr>
          <w:sz w:val="24"/>
        </w:rPr>
        <w:lastRenderedPageBreak/>
        <w:t>demande</w:t>
      </w:r>
      <w:r w:rsidR="00CD1937">
        <w:rPr>
          <w:sz w:val="24"/>
        </w:rPr>
        <w:t>s</w:t>
      </w:r>
      <w:r>
        <w:rPr>
          <w:sz w:val="24"/>
        </w:rPr>
        <w:t xml:space="preserve"> et les efforts. L’Annexe D propose une méthodologie pour le développement de l’inventaire.</w:t>
      </w:r>
    </w:p>
    <w:p w14:paraId="62A2EBAA" w14:textId="0A9E586A" w:rsidR="00BE127A" w:rsidRDefault="00BE127A" w:rsidP="00D5699E">
      <w:pPr>
        <w:pStyle w:val="Paragraphedeliste"/>
        <w:numPr>
          <w:ilvl w:val="0"/>
          <w:numId w:val="119"/>
        </w:numPr>
        <w:jc w:val="both"/>
        <w:rPr>
          <w:sz w:val="24"/>
        </w:rPr>
      </w:pPr>
      <w:r>
        <w:rPr>
          <w:b/>
          <w:sz w:val="24"/>
        </w:rPr>
        <w:t>Le référentiel de données commun</w:t>
      </w:r>
      <w:r>
        <w:rPr>
          <w:sz w:val="24"/>
        </w:rPr>
        <w:t xml:space="preserve"> : Le référentiel de données commun est un instrument essentiel pour faciliter le croisement de jeux de données (data mashup) et pour également limiter la duplication des collectes de données par dif</w:t>
      </w:r>
      <w:r w:rsidR="00CD1937">
        <w:rPr>
          <w:sz w:val="24"/>
        </w:rPr>
        <w:t>férentes structures, et faciliter</w:t>
      </w:r>
      <w:r>
        <w:rPr>
          <w:sz w:val="24"/>
        </w:rPr>
        <w:t xml:space="preserve"> l’appareillement des données pour tous les acteurs. L’INS a déjà commencé le développement d’un tel référentiel qui pourra constituer un point de départ pour cette activité.</w:t>
      </w:r>
      <w:r w:rsidR="00753210">
        <w:rPr>
          <w:sz w:val="24"/>
        </w:rPr>
        <w:t xml:space="preserve"> La commission national</w:t>
      </w:r>
      <w:r w:rsidR="00E4407E">
        <w:rPr>
          <w:sz w:val="24"/>
        </w:rPr>
        <w:t>e</w:t>
      </w:r>
      <w:r w:rsidR="00753210">
        <w:rPr>
          <w:sz w:val="24"/>
        </w:rPr>
        <w:t xml:space="preserve"> de toponymie</w:t>
      </w:r>
      <w:r w:rsidR="00753210">
        <w:rPr>
          <w:rStyle w:val="Appelnotedebasdep"/>
          <w:sz w:val="24"/>
        </w:rPr>
        <w:footnoteReference w:id="10"/>
      </w:r>
      <w:r w:rsidR="00753210">
        <w:rPr>
          <w:sz w:val="24"/>
        </w:rPr>
        <w:t xml:space="preserve"> sera également impliqué dans la constitution du </w:t>
      </w:r>
      <w:r w:rsidR="00544B7E">
        <w:rPr>
          <w:sz w:val="24"/>
        </w:rPr>
        <w:t>référentiel</w:t>
      </w:r>
      <w:r w:rsidR="00753210">
        <w:rPr>
          <w:sz w:val="24"/>
        </w:rPr>
        <w:t xml:space="preserve"> géographique.</w:t>
      </w:r>
    </w:p>
    <w:p w14:paraId="1F37D72A" w14:textId="2DBB1623" w:rsidR="00BE127A" w:rsidRDefault="00BE127A" w:rsidP="00D5699E">
      <w:pPr>
        <w:pStyle w:val="Paragraphedeliste"/>
        <w:numPr>
          <w:ilvl w:val="0"/>
          <w:numId w:val="119"/>
        </w:numPr>
        <w:jc w:val="both"/>
        <w:rPr>
          <w:sz w:val="24"/>
        </w:rPr>
      </w:pPr>
      <w:r>
        <w:rPr>
          <w:b/>
          <w:sz w:val="24"/>
        </w:rPr>
        <w:t>Les cas d’usage internes</w:t>
      </w:r>
      <w:r>
        <w:rPr>
          <w:sz w:val="24"/>
        </w:rPr>
        <w:t> : Afin de promouvoir la réutilisation de données entre les agences, il serait intéressant de développer une série d’exemple</w:t>
      </w:r>
      <w:r w:rsidR="00CD1937">
        <w:rPr>
          <w:sz w:val="24"/>
        </w:rPr>
        <w:t>s</w:t>
      </w:r>
      <w:r>
        <w:rPr>
          <w:sz w:val="24"/>
        </w:rPr>
        <w:t xml:space="preserve"> avec quelques agences ou structures sur le potentiel des données ouvertes pour aider ces structures. Ces exemples pourraient </w:t>
      </w:r>
      <w:r w:rsidR="00CD1937">
        <w:rPr>
          <w:sz w:val="24"/>
        </w:rPr>
        <w:t xml:space="preserve">être issus </w:t>
      </w:r>
      <w:r>
        <w:rPr>
          <w:sz w:val="24"/>
        </w:rPr>
        <w:t xml:space="preserve">de nombreux secteurs. </w:t>
      </w:r>
      <w:r w:rsidR="00544B7E">
        <w:rPr>
          <w:sz w:val="24"/>
        </w:rPr>
        <w:t xml:space="preserve">Au vu des rencontres, plusieurs opportunités pourraient être </w:t>
      </w:r>
      <w:r w:rsidR="00DA6790">
        <w:rPr>
          <w:sz w:val="24"/>
        </w:rPr>
        <w:t xml:space="preserve">explorées comme l’étude des violences faites aux femmes à partir des données criminelles, ou les opportunités d’investissement dans les jardins d’enfants ou les structures sportives en fonction des données du </w:t>
      </w:r>
      <w:r w:rsidR="00DA6790" w:rsidRPr="00DA6790">
        <w:rPr>
          <w:sz w:val="24"/>
        </w:rPr>
        <w:t xml:space="preserve">Ministère de la Femme, de la Famille, de l’Enfance et </w:t>
      </w:r>
      <w:r w:rsidR="00DA6790">
        <w:rPr>
          <w:sz w:val="24"/>
        </w:rPr>
        <w:t xml:space="preserve">des </w:t>
      </w:r>
      <w:r w:rsidR="00DA6790" w:rsidRPr="00DA6790">
        <w:rPr>
          <w:sz w:val="24"/>
        </w:rPr>
        <w:t>Personnes Âgées</w:t>
      </w:r>
      <w:r>
        <w:rPr>
          <w:sz w:val="24"/>
        </w:rPr>
        <w:t>. L’objectif sera de créer un</w:t>
      </w:r>
      <w:r w:rsidR="00CD1937">
        <w:rPr>
          <w:sz w:val="24"/>
        </w:rPr>
        <w:t>e</w:t>
      </w:r>
      <w:r>
        <w:rPr>
          <w:sz w:val="24"/>
        </w:rPr>
        <w:t xml:space="preserve"> dynamique interne de réutilisation et d’exploitation des données. </w:t>
      </w:r>
    </w:p>
    <w:p w14:paraId="3C462A25" w14:textId="4B793A39" w:rsidR="00BE127A" w:rsidRDefault="00BE127A" w:rsidP="00D5699E">
      <w:pPr>
        <w:pStyle w:val="Paragraphedeliste"/>
        <w:numPr>
          <w:ilvl w:val="0"/>
          <w:numId w:val="119"/>
        </w:numPr>
        <w:jc w:val="both"/>
        <w:rPr>
          <w:sz w:val="24"/>
        </w:rPr>
      </w:pPr>
      <w:r>
        <w:rPr>
          <w:b/>
          <w:sz w:val="24"/>
        </w:rPr>
        <w:t>Un manuel de procédure</w:t>
      </w:r>
      <w:r w:rsidR="00956AB1">
        <w:rPr>
          <w:b/>
          <w:sz w:val="24"/>
        </w:rPr>
        <w:t>s</w:t>
      </w:r>
      <w:r>
        <w:rPr>
          <w:b/>
          <w:sz w:val="24"/>
        </w:rPr>
        <w:t> </w:t>
      </w:r>
      <w:r>
        <w:rPr>
          <w:sz w:val="24"/>
        </w:rPr>
        <w:t xml:space="preserve">: afin d’aider dans leur tâche les chargés d’Open Data, il serait intéressant de développer </w:t>
      </w:r>
      <w:r w:rsidR="00E4407E">
        <w:rPr>
          <w:sz w:val="24"/>
        </w:rPr>
        <w:t xml:space="preserve">et mettre en ligne </w:t>
      </w:r>
      <w:r>
        <w:rPr>
          <w:sz w:val="24"/>
        </w:rPr>
        <w:t>un manuel de procédure</w:t>
      </w:r>
      <w:r w:rsidR="00956AB1">
        <w:rPr>
          <w:sz w:val="24"/>
        </w:rPr>
        <w:t>s</w:t>
      </w:r>
      <w:r>
        <w:rPr>
          <w:sz w:val="24"/>
        </w:rPr>
        <w:t xml:space="preserve"> pour l’ouverture des données qui fournirait un ensemble de guide</w:t>
      </w:r>
      <w:r w:rsidR="00CD1937">
        <w:rPr>
          <w:sz w:val="24"/>
        </w:rPr>
        <w:t>s</w:t>
      </w:r>
      <w:r>
        <w:rPr>
          <w:sz w:val="24"/>
        </w:rPr>
        <w:t xml:space="preserve"> pour la publication</w:t>
      </w:r>
      <w:r w:rsidR="00CD1937">
        <w:rPr>
          <w:sz w:val="24"/>
        </w:rPr>
        <w:t xml:space="preserve"> et l’inventaire</w:t>
      </w:r>
      <w:r>
        <w:rPr>
          <w:sz w:val="24"/>
        </w:rPr>
        <w:t>.</w:t>
      </w:r>
      <w:r w:rsidR="0055199F">
        <w:rPr>
          <w:sz w:val="24"/>
        </w:rPr>
        <w:t xml:space="preserve"> Plusieurs types de guides existent déjà et pourront servir de références</w:t>
      </w:r>
      <w:r w:rsidR="0055199F">
        <w:rPr>
          <w:rStyle w:val="Appelnotedebasdep"/>
          <w:sz w:val="24"/>
        </w:rPr>
        <w:footnoteReference w:id="11"/>
      </w:r>
      <w:r w:rsidR="0055199F">
        <w:rPr>
          <w:sz w:val="24"/>
        </w:rPr>
        <w:t xml:space="preserve"> pour le développement de ce manuel, après une analyse fine des besoins.</w:t>
      </w:r>
    </w:p>
    <w:p w14:paraId="6ACB96A5" w14:textId="2FEEF9C5" w:rsidR="00BE127A" w:rsidRDefault="00BE127A" w:rsidP="00D5699E">
      <w:pPr>
        <w:pStyle w:val="Paragraphedeliste"/>
        <w:numPr>
          <w:ilvl w:val="0"/>
          <w:numId w:val="119"/>
        </w:numPr>
        <w:jc w:val="both"/>
        <w:rPr>
          <w:sz w:val="24"/>
        </w:rPr>
      </w:pPr>
      <w:r>
        <w:rPr>
          <w:b/>
          <w:sz w:val="24"/>
        </w:rPr>
        <w:t>Une équipe technique d’appui</w:t>
      </w:r>
      <w:r w:rsidR="00AE2DBC">
        <w:rPr>
          <w:b/>
          <w:sz w:val="24"/>
        </w:rPr>
        <w:t xml:space="preserve"> </w:t>
      </w:r>
      <w:r>
        <w:rPr>
          <w:sz w:val="24"/>
        </w:rPr>
        <w:t xml:space="preserve">: </w:t>
      </w:r>
      <w:r w:rsidR="006B5D45">
        <w:rPr>
          <w:sz w:val="24"/>
        </w:rPr>
        <w:t>Lors des rencontres</w:t>
      </w:r>
      <w:r>
        <w:rPr>
          <w:sz w:val="24"/>
        </w:rPr>
        <w:t xml:space="preserve"> de la mission, il est clairement apparu que la plupart des structures, si elles ont la volonté de publier des données ouvertes, manque</w:t>
      </w:r>
      <w:r w:rsidR="00963D09">
        <w:rPr>
          <w:sz w:val="24"/>
        </w:rPr>
        <w:t>nt</w:t>
      </w:r>
      <w:r>
        <w:rPr>
          <w:sz w:val="24"/>
        </w:rPr>
        <w:t xml:space="preserve"> de capacité</w:t>
      </w:r>
      <w:r w:rsidR="00963D09">
        <w:rPr>
          <w:sz w:val="24"/>
        </w:rPr>
        <w:t>s</w:t>
      </w:r>
      <w:r>
        <w:rPr>
          <w:sz w:val="24"/>
        </w:rPr>
        <w:t xml:space="preserve"> technique</w:t>
      </w:r>
      <w:r w:rsidR="00963D09">
        <w:rPr>
          <w:sz w:val="24"/>
        </w:rPr>
        <w:t>s</w:t>
      </w:r>
      <w:r>
        <w:rPr>
          <w:sz w:val="24"/>
        </w:rPr>
        <w:t xml:space="preserve"> pour le faire. Elle</w:t>
      </w:r>
      <w:r w:rsidR="00963D09">
        <w:rPr>
          <w:sz w:val="24"/>
        </w:rPr>
        <w:t>s</w:t>
      </w:r>
      <w:r>
        <w:rPr>
          <w:sz w:val="24"/>
        </w:rPr>
        <w:t xml:space="preserve"> manque</w:t>
      </w:r>
      <w:r w:rsidR="00963D09">
        <w:rPr>
          <w:sz w:val="24"/>
        </w:rPr>
        <w:t>nt</w:t>
      </w:r>
      <w:r>
        <w:rPr>
          <w:sz w:val="24"/>
        </w:rPr>
        <w:t xml:space="preserve"> également de capacité</w:t>
      </w:r>
      <w:r w:rsidR="00963D09">
        <w:rPr>
          <w:sz w:val="24"/>
        </w:rPr>
        <w:t>s</w:t>
      </w:r>
      <w:r>
        <w:rPr>
          <w:sz w:val="24"/>
        </w:rPr>
        <w:t xml:space="preserve"> technique</w:t>
      </w:r>
      <w:r w:rsidR="00963D09">
        <w:rPr>
          <w:sz w:val="24"/>
        </w:rPr>
        <w:t>s</w:t>
      </w:r>
      <w:r>
        <w:rPr>
          <w:sz w:val="24"/>
        </w:rPr>
        <w:t xml:space="preserve"> pour automatiser la publication, voire pour exploiter les données qu’elles ont (visualisation). Il serait utile de mettre sur pied une équipe technique à même d’appuyer pendant un temps limité une structure qui s’engagerait dans l’initiative d’ouverture des données. Cette équipe apporterait l’expertise nécessaire pour le démarrage et favoriserait l’intégration des différents ministères au fur et à mesure du développement de l’initiative</w:t>
      </w:r>
      <w:r w:rsidR="00CD1937">
        <w:rPr>
          <w:sz w:val="24"/>
        </w:rPr>
        <w:t>.</w:t>
      </w:r>
    </w:p>
    <w:p w14:paraId="1F5F238A" w14:textId="1C09B4A6" w:rsidR="00BE127A" w:rsidRDefault="00BE127A" w:rsidP="00043D2A">
      <w:pPr>
        <w:spacing w:after="0"/>
        <w:jc w:val="both"/>
        <w:rPr>
          <w:sz w:val="24"/>
        </w:rPr>
      </w:pPr>
      <w:r>
        <w:rPr>
          <w:sz w:val="24"/>
        </w:rPr>
        <w:lastRenderedPageBreak/>
        <w:t xml:space="preserve">Concernant les acteurs non-étatiques, la première étape serait de mettre en place un comité mixte avec les acteurs non-gouvernementaux et </w:t>
      </w:r>
      <w:r w:rsidR="006B5D45">
        <w:rPr>
          <w:sz w:val="24"/>
        </w:rPr>
        <w:t>les acteurs publics</w:t>
      </w:r>
      <w:r>
        <w:rPr>
          <w:sz w:val="24"/>
        </w:rPr>
        <w:t>. Ce comité serait composé de représentants du CoPil ainsi que des représentants de différents groupes d’acteurs non-gouvernementaux : média, chercheurs, société civile et secteur privé des TIC et de l’innovation. Le rôle de ce comité sera d’une part de servir d’interface pour tous les acteurs non-gouvernementaux et d’autre part de suivre l’évolution de l’écosystème et d’identifier les interventions à impléme</w:t>
      </w:r>
      <w:r w:rsidR="00CD1937">
        <w:rPr>
          <w:sz w:val="24"/>
        </w:rPr>
        <w:t>nter soi</w:t>
      </w:r>
      <w:r>
        <w:rPr>
          <w:sz w:val="24"/>
        </w:rPr>
        <w:t xml:space="preserve">t auprès des acteurs gouvernementaux (recommandations au CoPil) soit auprès des acteurs non-gouvernementaux. Ce comité réceptionnera également les demandes de publication et leur suivi, et participera à la priorisation des publications. Dans un premier temps, ce comité devrait organiser le développement de cas d’usages de réutilisation. L’objectif serait de créer une dynamique autour de la réutilisation de </w:t>
      </w:r>
      <w:r w:rsidR="009352D9">
        <w:rPr>
          <w:sz w:val="24"/>
        </w:rPr>
        <w:t>données gouvern</w:t>
      </w:r>
      <w:r w:rsidR="00AE2DBC">
        <w:rPr>
          <w:sz w:val="24"/>
        </w:rPr>
        <w:t>e</w:t>
      </w:r>
      <w:r w:rsidR="009352D9">
        <w:rPr>
          <w:sz w:val="24"/>
        </w:rPr>
        <w:t>mentales</w:t>
      </w:r>
      <w:r w:rsidR="00AE2DBC">
        <w:rPr>
          <w:sz w:val="24"/>
        </w:rPr>
        <w:t xml:space="preserve"> </w:t>
      </w:r>
      <w:r>
        <w:rPr>
          <w:sz w:val="24"/>
        </w:rPr>
        <w:t>au travers de l’organisation de hackathon</w:t>
      </w:r>
      <w:r w:rsidR="00963D09">
        <w:rPr>
          <w:sz w:val="24"/>
        </w:rPr>
        <w:t>s</w:t>
      </w:r>
      <w:r>
        <w:rPr>
          <w:sz w:val="24"/>
        </w:rPr>
        <w:t xml:space="preserve"> spécifiques. Ces hackathons aurai</w:t>
      </w:r>
      <w:r w:rsidR="00CD1937">
        <w:rPr>
          <w:sz w:val="24"/>
        </w:rPr>
        <w:t>en</w:t>
      </w:r>
      <w:r>
        <w:rPr>
          <w:sz w:val="24"/>
        </w:rPr>
        <w:t>t une phase amont importante dans laquelle les acteurs d’un secteur donné serai</w:t>
      </w:r>
      <w:r w:rsidR="00CD1937">
        <w:rPr>
          <w:sz w:val="24"/>
        </w:rPr>
        <w:t>en</w:t>
      </w:r>
      <w:r>
        <w:rPr>
          <w:sz w:val="24"/>
        </w:rPr>
        <w:t>t réunis pour identifier des thèmes spécifiq</w:t>
      </w:r>
      <w:r w:rsidR="00CD1937">
        <w:rPr>
          <w:sz w:val="24"/>
        </w:rPr>
        <w:t>ues et les données à publier pa</w:t>
      </w:r>
      <w:r>
        <w:rPr>
          <w:sz w:val="24"/>
        </w:rPr>
        <w:t>r différentes agences. Puis l’événement lui-même permettrait d’une part de fournir un retour sur les données publiées, d’autre part de montrer les applications innovantes possible</w:t>
      </w:r>
      <w:r w:rsidR="00CD1937">
        <w:rPr>
          <w:sz w:val="24"/>
        </w:rPr>
        <w:t>s</w:t>
      </w:r>
      <w:r>
        <w:rPr>
          <w:sz w:val="24"/>
        </w:rPr>
        <w:t xml:space="preserve"> de ces données, créant une dynamique au sein des agences les publiant.</w:t>
      </w:r>
    </w:p>
    <w:p w14:paraId="1FE338AE" w14:textId="3B63FEE6" w:rsidR="00BE127A" w:rsidRDefault="008C1EBC" w:rsidP="00043D2A">
      <w:pPr>
        <w:spacing w:after="120"/>
        <w:jc w:val="both"/>
        <w:rPr>
          <w:sz w:val="24"/>
        </w:rPr>
      </w:pPr>
      <w:r>
        <w:rPr>
          <w:sz w:val="24"/>
        </w:rPr>
        <w:t xml:space="preserve">Sur </w:t>
      </w:r>
      <w:r w:rsidR="006B5D45">
        <w:rPr>
          <w:sz w:val="24"/>
        </w:rPr>
        <w:t>le plus long terme</w:t>
      </w:r>
      <w:r w:rsidR="00BE127A">
        <w:rPr>
          <w:sz w:val="24"/>
        </w:rPr>
        <w:t>, il conviendra de travailler à l’intégration de cursus sur l’Open Data à la fois dans les écoles destinées aux cadres de la fonction publique comme l’ENA et dans les filières techniques comme celles de l’INSAT. Il sera également opportun de</w:t>
      </w:r>
      <w:r w:rsidR="00CD1937">
        <w:rPr>
          <w:sz w:val="24"/>
        </w:rPr>
        <w:t xml:space="preserve"> réfléchir à la mise en place d’une structure pérenne</w:t>
      </w:r>
      <w:r w:rsidR="00BE127A">
        <w:rPr>
          <w:sz w:val="24"/>
        </w:rPr>
        <w:t xml:space="preserve"> sur le modèle de</w:t>
      </w:r>
      <w:r w:rsidR="00CD1937">
        <w:rPr>
          <w:sz w:val="24"/>
        </w:rPr>
        <w:t>s</w:t>
      </w:r>
      <w:r w:rsidR="00BE127A">
        <w:rPr>
          <w:sz w:val="24"/>
        </w:rPr>
        <w:t xml:space="preserve"> Laboratoire</w:t>
      </w:r>
      <w:r w:rsidR="00CD1937">
        <w:rPr>
          <w:sz w:val="24"/>
        </w:rPr>
        <w:t>s</w:t>
      </w:r>
      <w:r w:rsidR="00BE127A">
        <w:rPr>
          <w:sz w:val="24"/>
        </w:rPr>
        <w:t xml:space="preserve"> d’innovation Open Data comme ceux mis en place en Tanzanie</w:t>
      </w:r>
      <w:r w:rsidR="00BE127A">
        <w:rPr>
          <w:rStyle w:val="Appelnotedebasdep"/>
          <w:sz w:val="24"/>
        </w:rPr>
        <w:footnoteReference w:id="12"/>
      </w:r>
      <w:r w:rsidR="00BE127A">
        <w:rPr>
          <w:sz w:val="24"/>
        </w:rPr>
        <w:t xml:space="preserve"> ou en Indonésie</w:t>
      </w:r>
      <w:r w:rsidR="00BE127A">
        <w:rPr>
          <w:rStyle w:val="Appelnotedebasdep"/>
          <w:sz w:val="24"/>
        </w:rPr>
        <w:footnoteReference w:id="13"/>
      </w:r>
      <w:r w:rsidR="00BE127A">
        <w:rPr>
          <w:sz w:val="24"/>
        </w:rPr>
        <w:t xml:space="preserve"> qui apporte</w:t>
      </w:r>
      <w:r w:rsidR="00CD1937">
        <w:rPr>
          <w:sz w:val="24"/>
        </w:rPr>
        <w:t>nt un appui à la fois aux structures publiques ainsi qu’à</w:t>
      </w:r>
      <w:r w:rsidR="00BE127A">
        <w:rPr>
          <w:sz w:val="24"/>
        </w:rPr>
        <w:t xml:space="preserve"> tous les acteurs non-gouvernementaux.</w:t>
      </w:r>
      <w:r>
        <w:rPr>
          <w:sz w:val="24"/>
        </w:rPr>
        <w:t xml:space="preserve"> Une telle structure pourrait éventuellement prendre une forme gouvernementale sur le modèle de l’Etalab français</w:t>
      </w:r>
      <w:r>
        <w:rPr>
          <w:rStyle w:val="Appelnotedebasdep"/>
          <w:sz w:val="24"/>
        </w:rPr>
        <w:footnoteReference w:id="14"/>
      </w:r>
      <w:r>
        <w:rPr>
          <w:sz w:val="24"/>
        </w:rPr>
        <w:t xml:space="preserve">. </w:t>
      </w:r>
    </w:p>
    <w:p w14:paraId="0EA1DE8C" w14:textId="221848F1" w:rsidR="00753FE5" w:rsidRDefault="00BE127A" w:rsidP="00043D2A">
      <w:pPr>
        <w:spacing w:after="0"/>
        <w:jc w:val="both"/>
        <w:rPr>
          <w:sz w:val="24"/>
        </w:rPr>
      </w:pPr>
      <w:r>
        <w:rPr>
          <w:sz w:val="24"/>
        </w:rPr>
        <w:t xml:space="preserve">En dehors de ces points, il conviendra de considérer avec attention l’aspect financement de l’initiative et de s’assurer qu’un ensemble de partenaires de la Tunisie sont prêts à s’engager dans le financement de toute la phase de mise en place de l’initiative. </w:t>
      </w:r>
    </w:p>
    <w:p w14:paraId="4B92E6F0" w14:textId="5F28A25D" w:rsidR="00BE127A" w:rsidRPr="00CD1937" w:rsidRDefault="00BE127A" w:rsidP="00043D2A">
      <w:pPr>
        <w:jc w:val="both"/>
        <w:rPr>
          <w:rFonts w:asciiTheme="majorHAnsi" w:eastAsiaTheme="majorEastAsia" w:hAnsiTheme="majorHAnsi" w:cstheme="majorBidi"/>
          <w:b/>
          <w:bCs/>
          <w:caps/>
          <w:color w:val="FFFFFF" w:themeColor="background1"/>
          <w:sz w:val="28"/>
          <w:szCs w:val="28"/>
        </w:rPr>
      </w:pPr>
      <w:r>
        <w:rPr>
          <w:sz w:val="24"/>
        </w:rPr>
        <w:t xml:space="preserve"> En termes de calendrier, une grande par</w:t>
      </w:r>
      <w:r w:rsidR="00CD1937">
        <w:rPr>
          <w:sz w:val="24"/>
        </w:rPr>
        <w:t>tie</w:t>
      </w:r>
      <w:r>
        <w:rPr>
          <w:sz w:val="24"/>
        </w:rPr>
        <w:t xml:space="preserve"> des activités pourrait être lancée à très court terme avec les Ministères précurseurs déjà identifiés (Ministères des Finances, de l’Intérieur, de</w:t>
      </w:r>
      <w:r w:rsidR="00BB751F">
        <w:rPr>
          <w:sz w:val="24"/>
        </w:rPr>
        <w:t>s Affaires Culturelles</w:t>
      </w:r>
      <w:r>
        <w:rPr>
          <w:sz w:val="24"/>
        </w:rPr>
        <w:t xml:space="preserve">, de l’Energie, </w:t>
      </w:r>
      <w:r w:rsidR="008C1EBC">
        <w:rPr>
          <w:sz w:val="24"/>
        </w:rPr>
        <w:t xml:space="preserve">de l’Industrie et des PMEs, </w:t>
      </w:r>
      <w:r>
        <w:rPr>
          <w:sz w:val="24"/>
        </w:rPr>
        <w:t>des Mines et des Energies Renouvelables, des Affaires Locales et de l’Environnement, et du Transport) puis graduellement intégrer au cours du temps les autres secteurs.</w:t>
      </w:r>
      <w:bookmarkStart w:id="3" w:name="_Toc459307830"/>
      <w:r w:rsidRPr="00CD1937">
        <w:br w:type="page"/>
      </w:r>
    </w:p>
    <w:p w14:paraId="463A5E21" w14:textId="106D48EA" w:rsidR="00B0787B" w:rsidRPr="007B2495" w:rsidRDefault="00C354B3" w:rsidP="00587026">
      <w:pPr>
        <w:pStyle w:val="Titre1"/>
        <w:spacing w:after="0"/>
        <w:jc w:val="left"/>
        <w:rPr>
          <w:lang w:val="en-US"/>
        </w:rPr>
      </w:pPr>
      <w:bookmarkStart w:id="4" w:name="_Toc496544771"/>
      <w:r w:rsidRPr="007B2495">
        <w:rPr>
          <w:lang w:val="en-US"/>
        </w:rPr>
        <w:lastRenderedPageBreak/>
        <w:t>Executive Summary</w:t>
      </w:r>
      <w:bookmarkEnd w:id="3"/>
      <w:bookmarkEnd w:id="4"/>
    </w:p>
    <w:p w14:paraId="5F0B532F" w14:textId="77C1AD66" w:rsidR="00B0787B" w:rsidRPr="007B2495" w:rsidRDefault="00B0787B" w:rsidP="00B0787B">
      <w:pPr>
        <w:shd w:val="clear" w:color="auto" w:fill="FFFFFF" w:themeFill="background1"/>
        <w:rPr>
          <w:sz w:val="20"/>
          <w:szCs w:val="20"/>
          <w:lang w:val="en-US"/>
        </w:rPr>
      </w:pPr>
    </w:p>
    <w:p w14:paraId="5083119B" w14:textId="77777777" w:rsidR="00B0787B" w:rsidRPr="007B2495" w:rsidRDefault="00B0787B" w:rsidP="00B0787B">
      <w:pPr>
        <w:shd w:val="clear" w:color="auto" w:fill="FFFFFF" w:themeFill="background1"/>
        <w:rPr>
          <w:lang w:val="en-US"/>
        </w:rPr>
      </w:pPr>
      <w:r w:rsidRPr="007B2495">
        <w:rPr>
          <w:rFonts w:ascii="Times New Roman" w:hAnsi="Times New Roman" w:cs="Times New Roman"/>
          <w:sz w:val="24"/>
          <w:szCs w:val="24"/>
          <w:lang w:val="en-US"/>
        </w:rPr>
        <w:br/>
      </w:r>
    </w:p>
    <w:p w14:paraId="4F4757DA" w14:textId="77777777" w:rsidR="00D372A4" w:rsidRPr="007B2495" w:rsidRDefault="00D372A4" w:rsidP="00B0787B">
      <w:pPr>
        <w:rPr>
          <w:lang w:val="en-US"/>
        </w:rPr>
      </w:pPr>
      <w:r w:rsidRPr="007B2495">
        <w:rPr>
          <w:lang w:val="en-US"/>
        </w:rPr>
        <w:br w:type="page"/>
      </w:r>
    </w:p>
    <w:sdt>
      <w:sdtPr>
        <w:rPr>
          <w:rFonts w:asciiTheme="minorHAnsi" w:eastAsiaTheme="minorHAnsi" w:hAnsiTheme="minorHAnsi" w:cstheme="minorBidi"/>
          <w:b w:val="0"/>
          <w:bCs w:val="0"/>
          <w:caps w:val="0"/>
          <w:color w:val="auto"/>
          <w:sz w:val="22"/>
          <w:szCs w:val="22"/>
          <w:lang w:val="fr-FR"/>
        </w:rPr>
        <w:id w:val="-182746027"/>
        <w:docPartObj>
          <w:docPartGallery w:val="Table of Contents"/>
          <w:docPartUnique/>
        </w:docPartObj>
      </w:sdtPr>
      <w:sdtEndPr/>
      <w:sdtContent>
        <w:p w14:paraId="1B0787B6" w14:textId="0BBD5C66" w:rsidR="003031BA" w:rsidRDefault="003031BA">
          <w:pPr>
            <w:pStyle w:val="En-ttedetabledesmatires"/>
          </w:pPr>
          <w:r w:rsidRPr="007B2495">
            <w:t>Table des matières</w:t>
          </w:r>
        </w:p>
        <w:p w14:paraId="79DCB2C5" w14:textId="74C583BA" w:rsidR="003A1B05" w:rsidRDefault="003031BA">
          <w:pPr>
            <w:pStyle w:val="TM1"/>
            <w:tabs>
              <w:tab w:val="right" w:leader="dot" w:pos="9062"/>
            </w:tabs>
            <w:rPr>
              <w:rFonts w:eastAsiaTheme="minorEastAsia"/>
              <w:noProof/>
              <w:lang w:eastAsia="fr-FR"/>
            </w:rPr>
          </w:pPr>
          <w:r>
            <w:fldChar w:fldCharType="begin"/>
          </w:r>
          <w:r>
            <w:instrText xml:space="preserve"> TOC \o "1-3" \h \z \u </w:instrText>
          </w:r>
          <w:r>
            <w:fldChar w:fldCharType="separate"/>
          </w:r>
          <w:hyperlink w:anchor="_Toc496544770" w:history="1">
            <w:r w:rsidR="003A1B05" w:rsidRPr="00C47CBF">
              <w:rPr>
                <w:rStyle w:val="Lienhypertexte"/>
                <w:noProof/>
              </w:rPr>
              <w:t>Synthèse</w:t>
            </w:r>
            <w:r w:rsidR="003A1B05">
              <w:rPr>
                <w:noProof/>
                <w:webHidden/>
              </w:rPr>
              <w:tab/>
            </w:r>
            <w:r w:rsidR="003A1B05">
              <w:rPr>
                <w:noProof/>
                <w:webHidden/>
              </w:rPr>
              <w:fldChar w:fldCharType="begin"/>
            </w:r>
            <w:r w:rsidR="003A1B05">
              <w:rPr>
                <w:noProof/>
                <w:webHidden/>
              </w:rPr>
              <w:instrText xml:space="preserve"> PAGEREF _Toc496544770 \h </w:instrText>
            </w:r>
            <w:r w:rsidR="003A1B05">
              <w:rPr>
                <w:noProof/>
                <w:webHidden/>
              </w:rPr>
            </w:r>
            <w:r w:rsidR="003A1B05">
              <w:rPr>
                <w:noProof/>
                <w:webHidden/>
              </w:rPr>
              <w:fldChar w:fldCharType="separate"/>
            </w:r>
            <w:r w:rsidR="00F4464B">
              <w:rPr>
                <w:noProof/>
                <w:webHidden/>
              </w:rPr>
              <w:t>2</w:t>
            </w:r>
            <w:r w:rsidR="003A1B05">
              <w:rPr>
                <w:noProof/>
                <w:webHidden/>
              </w:rPr>
              <w:fldChar w:fldCharType="end"/>
            </w:r>
          </w:hyperlink>
        </w:p>
        <w:p w14:paraId="22C3165F" w14:textId="1A535C2E" w:rsidR="003A1B05" w:rsidRDefault="00E8606D">
          <w:pPr>
            <w:pStyle w:val="TM1"/>
            <w:tabs>
              <w:tab w:val="right" w:leader="dot" w:pos="9062"/>
            </w:tabs>
            <w:rPr>
              <w:rFonts w:eastAsiaTheme="minorEastAsia"/>
              <w:noProof/>
              <w:lang w:eastAsia="fr-FR"/>
            </w:rPr>
          </w:pPr>
          <w:hyperlink w:anchor="_Toc496544771" w:history="1">
            <w:r w:rsidR="003A1B05" w:rsidRPr="00C47CBF">
              <w:rPr>
                <w:rStyle w:val="Lienhypertexte"/>
                <w:noProof/>
                <w:lang w:val="en-US"/>
              </w:rPr>
              <w:t>Executive Summary</w:t>
            </w:r>
            <w:r w:rsidR="003A1B05">
              <w:rPr>
                <w:noProof/>
                <w:webHidden/>
              </w:rPr>
              <w:tab/>
            </w:r>
            <w:r w:rsidR="003A1B05">
              <w:rPr>
                <w:noProof/>
                <w:webHidden/>
              </w:rPr>
              <w:fldChar w:fldCharType="begin"/>
            </w:r>
            <w:r w:rsidR="003A1B05">
              <w:rPr>
                <w:noProof/>
                <w:webHidden/>
              </w:rPr>
              <w:instrText xml:space="preserve"> PAGEREF _Toc496544771 \h </w:instrText>
            </w:r>
            <w:r w:rsidR="003A1B05">
              <w:rPr>
                <w:noProof/>
                <w:webHidden/>
              </w:rPr>
            </w:r>
            <w:r w:rsidR="003A1B05">
              <w:rPr>
                <w:noProof/>
                <w:webHidden/>
              </w:rPr>
              <w:fldChar w:fldCharType="separate"/>
            </w:r>
            <w:r w:rsidR="00F4464B">
              <w:rPr>
                <w:noProof/>
                <w:webHidden/>
              </w:rPr>
              <w:t>11</w:t>
            </w:r>
            <w:r w:rsidR="003A1B05">
              <w:rPr>
                <w:noProof/>
                <w:webHidden/>
              </w:rPr>
              <w:fldChar w:fldCharType="end"/>
            </w:r>
          </w:hyperlink>
        </w:p>
        <w:p w14:paraId="313DF615" w14:textId="7867E962" w:rsidR="003A1B05" w:rsidRDefault="00E8606D">
          <w:pPr>
            <w:pStyle w:val="TM1"/>
            <w:tabs>
              <w:tab w:val="right" w:leader="dot" w:pos="9062"/>
            </w:tabs>
            <w:rPr>
              <w:rFonts w:eastAsiaTheme="minorEastAsia"/>
              <w:noProof/>
              <w:lang w:eastAsia="fr-FR"/>
            </w:rPr>
          </w:pPr>
          <w:hyperlink w:anchor="_Toc496544772" w:history="1">
            <w:r w:rsidR="003A1B05" w:rsidRPr="00C47CBF">
              <w:rPr>
                <w:rStyle w:val="Lienhypertexte"/>
                <w:noProof/>
              </w:rPr>
              <w:t>Remerciements</w:t>
            </w:r>
            <w:r w:rsidR="003A1B05">
              <w:rPr>
                <w:noProof/>
                <w:webHidden/>
              </w:rPr>
              <w:tab/>
            </w:r>
            <w:r w:rsidR="003A1B05">
              <w:rPr>
                <w:noProof/>
                <w:webHidden/>
              </w:rPr>
              <w:fldChar w:fldCharType="begin"/>
            </w:r>
            <w:r w:rsidR="003A1B05">
              <w:rPr>
                <w:noProof/>
                <w:webHidden/>
              </w:rPr>
              <w:instrText xml:space="preserve"> PAGEREF _Toc496544772 \h </w:instrText>
            </w:r>
            <w:r w:rsidR="003A1B05">
              <w:rPr>
                <w:noProof/>
                <w:webHidden/>
              </w:rPr>
            </w:r>
            <w:r w:rsidR="003A1B05">
              <w:rPr>
                <w:noProof/>
                <w:webHidden/>
              </w:rPr>
              <w:fldChar w:fldCharType="separate"/>
            </w:r>
            <w:r w:rsidR="00F4464B">
              <w:rPr>
                <w:noProof/>
                <w:webHidden/>
              </w:rPr>
              <w:t>13</w:t>
            </w:r>
            <w:r w:rsidR="003A1B05">
              <w:rPr>
                <w:noProof/>
                <w:webHidden/>
              </w:rPr>
              <w:fldChar w:fldCharType="end"/>
            </w:r>
          </w:hyperlink>
        </w:p>
        <w:p w14:paraId="3116469E" w14:textId="3397F1A2" w:rsidR="003A1B05" w:rsidRDefault="00E8606D">
          <w:pPr>
            <w:pStyle w:val="TM1"/>
            <w:tabs>
              <w:tab w:val="right" w:leader="dot" w:pos="9062"/>
            </w:tabs>
            <w:rPr>
              <w:rFonts w:eastAsiaTheme="minorEastAsia"/>
              <w:noProof/>
              <w:lang w:eastAsia="fr-FR"/>
            </w:rPr>
          </w:pPr>
          <w:hyperlink w:anchor="_Toc496544773" w:history="1">
            <w:r w:rsidR="003A1B05" w:rsidRPr="00C47CBF">
              <w:rPr>
                <w:rStyle w:val="Lienhypertexte"/>
                <w:noProof/>
              </w:rPr>
              <w:t>Glossaire</w:t>
            </w:r>
            <w:r w:rsidR="003A1B05">
              <w:rPr>
                <w:noProof/>
                <w:webHidden/>
              </w:rPr>
              <w:tab/>
            </w:r>
            <w:r w:rsidR="003A1B05">
              <w:rPr>
                <w:noProof/>
                <w:webHidden/>
              </w:rPr>
              <w:fldChar w:fldCharType="begin"/>
            </w:r>
            <w:r w:rsidR="003A1B05">
              <w:rPr>
                <w:noProof/>
                <w:webHidden/>
              </w:rPr>
              <w:instrText xml:space="preserve"> PAGEREF _Toc496544773 \h </w:instrText>
            </w:r>
            <w:r w:rsidR="003A1B05">
              <w:rPr>
                <w:noProof/>
                <w:webHidden/>
              </w:rPr>
            </w:r>
            <w:r w:rsidR="003A1B05">
              <w:rPr>
                <w:noProof/>
                <w:webHidden/>
              </w:rPr>
              <w:fldChar w:fldCharType="separate"/>
            </w:r>
            <w:r w:rsidR="00F4464B">
              <w:rPr>
                <w:noProof/>
                <w:webHidden/>
              </w:rPr>
              <w:t>14</w:t>
            </w:r>
            <w:r w:rsidR="003A1B05">
              <w:rPr>
                <w:noProof/>
                <w:webHidden/>
              </w:rPr>
              <w:fldChar w:fldCharType="end"/>
            </w:r>
          </w:hyperlink>
        </w:p>
        <w:p w14:paraId="3E9FDDB6" w14:textId="5F2B19DF" w:rsidR="003A1B05" w:rsidRDefault="00E8606D">
          <w:pPr>
            <w:pStyle w:val="TM1"/>
            <w:tabs>
              <w:tab w:val="right" w:leader="dot" w:pos="9062"/>
            </w:tabs>
            <w:rPr>
              <w:rFonts w:eastAsiaTheme="minorEastAsia"/>
              <w:noProof/>
              <w:lang w:eastAsia="fr-FR"/>
            </w:rPr>
          </w:pPr>
          <w:hyperlink w:anchor="_Toc496544774" w:history="1">
            <w:r w:rsidR="003A1B05" w:rsidRPr="00C47CBF">
              <w:rPr>
                <w:rStyle w:val="Lienhypertexte"/>
                <w:noProof/>
              </w:rPr>
              <w:t>Méthodologie</w:t>
            </w:r>
            <w:r w:rsidR="003A1B05">
              <w:rPr>
                <w:noProof/>
                <w:webHidden/>
              </w:rPr>
              <w:tab/>
            </w:r>
            <w:r w:rsidR="003A1B05">
              <w:rPr>
                <w:noProof/>
                <w:webHidden/>
              </w:rPr>
              <w:fldChar w:fldCharType="begin"/>
            </w:r>
            <w:r w:rsidR="003A1B05">
              <w:rPr>
                <w:noProof/>
                <w:webHidden/>
              </w:rPr>
              <w:instrText xml:space="preserve"> PAGEREF _Toc496544774 \h </w:instrText>
            </w:r>
            <w:r w:rsidR="003A1B05">
              <w:rPr>
                <w:noProof/>
                <w:webHidden/>
              </w:rPr>
            </w:r>
            <w:r w:rsidR="003A1B05">
              <w:rPr>
                <w:noProof/>
                <w:webHidden/>
              </w:rPr>
              <w:fldChar w:fldCharType="separate"/>
            </w:r>
            <w:r w:rsidR="00F4464B">
              <w:rPr>
                <w:noProof/>
                <w:webHidden/>
              </w:rPr>
              <w:t>16</w:t>
            </w:r>
            <w:r w:rsidR="003A1B05">
              <w:rPr>
                <w:noProof/>
                <w:webHidden/>
              </w:rPr>
              <w:fldChar w:fldCharType="end"/>
            </w:r>
          </w:hyperlink>
        </w:p>
        <w:p w14:paraId="16095F71" w14:textId="7107680C" w:rsidR="003A1B05" w:rsidRDefault="00E8606D">
          <w:pPr>
            <w:pStyle w:val="TM1"/>
            <w:tabs>
              <w:tab w:val="right" w:leader="dot" w:pos="9062"/>
            </w:tabs>
            <w:rPr>
              <w:rFonts w:eastAsiaTheme="minorEastAsia"/>
              <w:noProof/>
              <w:lang w:eastAsia="fr-FR"/>
            </w:rPr>
          </w:pPr>
          <w:hyperlink w:anchor="_Toc496544775" w:history="1">
            <w:r w:rsidR="003A1B05" w:rsidRPr="00C47CBF">
              <w:rPr>
                <w:rStyle w:val="Lienhypertexte"/>
                <w:noProof/>
              </w:rPr>
              <w:t>Le contexte Tunisien</w:t>
            </w:r>
            <w:r w:rsidR="003A1B05">
              <w:rPr>
                <w:noProof/>
                <w:webHidden/>
              </w:rPr>
              <w:tab/>
            </w:r>
            <w:r w:rsidR="003A1B05">
              <w:rPr>
                <w:noProof/>
                <w:webHidden/>
              </w:rPr>
              <w:fldChar w:fldCharType="begin"/>
            </w:r>
            <w:r w:rsidR="003A1B05">
              <w:rPr>
                <w:noProof/>
                <w:webHidden/>
              </w:rPr>
              <w:instrText xml:space="preserve"> PAGEREF _Toc496544775 \h </w:instrText>
            </w:r>
            <w:r w:rsidR="003A1B05">
              <w:rPr>
                <w:noProof/>
                <w:webHidden/>
              </w:rPr>
            </w:r>
            <w:r w:rsidR="003A1B05">
              <w:rPr>
                <w:noProof/>
                <w:webHidden/>
              </w:rPr>
              <w:fldChar w:fldCharType="separate"/>
            </w:r>
            <w:r w:rsidR="00F4464B">
              <w:rPr>
                <w:noProof/>
                <w:webHidden/>
              </w:rPr>
              <w:t>18</w:t>
            </w:r>
            <w:r w:rsidR="003A1B05">
              <w:rPr>
                <w:noProof/>
                <w:webHidden/>
              </w:rPr>
              <w:fldChar w:fldCharType="end"/>
            </w:r>
          </w:hyperlink>
        </w:p>
        <w:p w14:paraId="009F411B" w14:textId="7446DDE2" w:rsidR="003A1B05" w:rsidRDefault="00E8606D">
          <w:pPr>
            <w:pStyle w:val="TM1"/>
            <w:tabs>
              <w:tab w:val="right" w:leader="dot" w:pos="9062"/>
            </w:tabs>
            <w:rPr>
              <w:rFonts w:eastAsiaTheme="minorEastAsia"/>
              <w:noProof/>
              <w:lang w:eastAsia="fr-FR"/>
            </w:rPr>
          </w:pPr>
          <w:hyperlink w:anchor="_Toc496544776" w:history="1">
            <w:r w:rsidR="003A1B05" w:rsidRPr="00C47CBF">
              <w:rPr>
                <w:rStyle w:val="Lienhypertexte"/>
                <w:noProof/>
              </w:rPr>
              <w:t>Leadership</w:t>
            </w:r>
            <w:r w:rsidR="003A1B05">
              <w:rPr>
                <w:noProof/>
                <w:webHidden/>
              </w:rPr>
              <w:tab/>
            </w:r>
            <w:r w:rsidR="003A1B05">
              <w:rPr>
                <w:noProof/>
                <w:webHidden/>
              </w:rPr>
              <w:fldChar w:fldCharType="begin"/>
            </w:r>
            <w:r w:rsidR="003A1B05">
              <w:rPr>
                <w:noProof/>
                <w:webHidden/>
              </w:rPr>
              <w:instrText xml:space="preserve"> PAGEREF _Toc496544776 \h </w:instrText>
            </w:r>
            <w:r w:rsidR="003A1B05">
              <w:rPr>
                <w:noProof/>
                <w:webHidden/>
              </w:rPr>
            </w:r>
            <w:r w:rsidR="003A1B05">
              <w:rPr>
                <w:noProof/>
                <w:webHidden/>
              </w:rPr>
              <w:fldChar w:fldCharType="separate"/>
            </w:r>
            <w:r w:rsidR="00F4464B">
              <w:rPr>
                <w:noProof/>
                <w:webHidden/>
              </w:rPr>
              <w:t>19</w:t>
            </w:r>
            <w:r w:rsidR="003A1B05">
              <w:rPr>
                <w:noProof/>
                <w:webHidden/>
              </w:rPr>
              <w:fldChar w:fldCharType="end"/>
            </w:r>
          </w:hyperlink>
        </w:p>
        <w:p w14:paraId="78914E1F" w14:textId="1898297C" w:rsidR="003A1B05" w:rsidRDefault="00E8606D">
          <w:pPr>
            <w:pStyle w:val="TM1"/>
            <w:tabs>
              <w:tab w:val="right" w:leader="dot" w:pos="9062"/>
            </w:tabs>
            <w:rPr>
              <w:rFonts w:eastAsiaTheme="minorEastAsia"/>
              <w:noProof/>
              <w:lang w:eastAsia="fr-FR"/>
            </w:rPr>
          </w:pPr>
          <w:hyperlink w:anchor="_Toc496544777" w:history="1">
            <w:r w:rsidR="003A1B05" w:rsidRPr="00C47CBF">
              <w:rPr>
                <w:rStyle w:val="Lienhypertexte"/>
                <w:noProof/>
              </w:rPr>
              <w:t>Cadre réglementaire et juridique</w:t>
            </w:r>
            <w:r w:rsidR="003A1B05">
              <w:rPr>
                <w:noProof/>
                <w:webHidden/>
              </w:rPr>
              <w:tab/>
            </w:r>
            <w:r w:rsidR="003A1B05">
              <w:rPr>
                <w:noProof/>
                <w:webHidden/>
              </w:rPr>
              <w:fldChar w:fldCharType="begin"/>
            </w:r>
            <w:r w:rsidR="003A1B05">
              <w:rPr>
                <w:noProof/>
                <w:webHidden/>
              </w:rPr>
              <w:instrText xml:space="preserve"> PAGEREF _Toc496544777 \h </w:instrText>
            </w:r>
            <w:r w:rsidR="003A1B05">
              <w:rPr>
                <w:noProof/>
                <w:webHidden/>
              </w:rPr>
            </w:r>
            <w:r w:rsidR="003A1B05">
              <w:rPr>
                <w:noProof/>
                <w:webHidden/>
              </w:rPr>
              <w:fldChar w:fldCharType="separate"/>
            </w:r>
            <w:r w:rsidR="00F4464B">
              <w:rPr>
                <w:noProof/>
                <w:webHidden/>
              </w:rPr>
              <w:t>24</w:t>
            </w:r>
            <w:r w:rsidR="003A1B05">
              <w:rPr>
                <w:noProof/>
                <w:webHidden/>
              </w:rPr>
              <w:fldChar w:fldCharType="end"/>
            </w:r>
          </w:hyperlink>
        </w:p>
        <w:p w14:paraId="796EE6A2" w14:textId="56553459" w:rsidR="003A1B05" w:rsidRDefault="00E8606D">
          <w:pPr>
            <w:pStyle w:val="TM1"/>
            <w:tabs>
              <w:tab w:val="right" w:leader="dot" w:pos="9062"/>
            </w:tabs>
            <w:rPr>
              <w:rFonts w:eastAsiaTheme="minorEastAsia"/>
              <w:noProof/>
              <w:lang w:eastAsia="fr-FR"/>
            </w:rPr>
          </w:pPr>
          <w:hyperlink w:anchor="_Toc496544778" w:history="1">
            <w:r w:rsidR="003A1B05" w:rsidRPr="00C47CBF">
              <w:rPr>
                <w:rStyle w:val="Lienhypertexte"/>
                <w:noProof/>
              </w:rPr>
              <w:t>Structures institutionnelles, responsabilités et compétences au sein du gouvernement</w:t>
            </w:r>
            <w:r w:rsidR="003A1B05">
              <w:rPr>
                <w:noProof/>
                <w:webHidden/>
              </w:rPr>
              <w:tab/>
            </w:r>
            <w:r w:rsidR="003A1B05">
              <w:rPr>
                <w:noProof/>
                <w:webHidden/>
              </w:rPr>
              <w:fldChar w:fldCharType="begin"/>
            </w:r>
            <w:r w:rsidR="003A1B05">
              <w:rPr>
                <w:noProof/>
                <w:webHidden/>
              </w:rPr>
              <w:instrText xml:space="preserve"> PAGEREF _Toc496544778 \h </w:instrText>
            </w:r>
            <w:r w:rsidR="003A1B05">
              <w:rPr>
                <w:noProof/>
                <w:webHidden/>
              </w:rPr>
            </w:r>
            <w:r w:rsidR="003A1B05">
              <w:rPr>
                <w:noProof/>
                <w:webHidden/>
              </w:rPr>
              <w:fldChar w:fldCharType="separate"/>
            </w:r>
            <w:r w:rsidR="00F4464B">
              <w:rPr>
                <w:noProof/>
                <w:webHidden/>
              </w:rPr>
              <w:t>31</w:t>
            </w:r>
            <w:r w:rsidR="003A1B05">
              <w:rPr>
                <w:noProof/>
                <w:webHidden/>
              </w:rPr>
              <w:fldChar w:fldCharType="end"/>
            </w:r>
          </w:hyperlink>
        </w:p>
        <w:p w14:paraId="2E92C578" w14:textId="1F0C52A0" w:rsidR="003A1B05" w:rsidRDefault="00E8606D">
          <w:pPr>
            <w:pStyle w:val="TM1"/>
            <w:tabs>
              <w:tab w:val="right" w:leader="dot" w:pos="9062"/>
            </w:tabs>
            <w:rPr>
              <w:rFonts w:eastAsiaTheme="minorEastAsia"/>
              <w:noProof/>
              <w:lang w:eastAsia="fr-FR"/>
            </w:rPr>
          </w:pPr>
          <w:hyperlink w:anchor="_Toc496544779" w:history="1">
            <w:r w:rsidR="003A1B05" w:rsidRPr="00C47CBF">
              <w:rPr>
                <w:rStyle w:val="Lienhypertexte"/>
                <w:noProof/>
              </w:rPr>
              <w:t>Données au sein du gouvernement, Réglementations et procédures de la gestion des données gouvernementales</w:t>
            </w:r>
            <w:r w:rsidR="003A1B05">
              <w:rPr>
                <w:noProof/>
                <w:webHidden/>
              </w:rPr>
              <w:tab/>
            </w:r>
            <w:r w:rsidR="003A1B05">
              <w:rPr>
                <w:noProof/>
                <w:webHidden/>
              </w:rPr>
              <w:fldChar w:fldCharType="begin"/>
            </w:r>
            <w:r w:rsidR="003A1B05">
              <w:rPr>
                <w:noProof/>
                <w:webHidden/>
              </w:rPr>
              <w:instrText xml:space="preserve"> PAGEREF _Toc496544779 \h </w:instrText>
            </w:r>
            <w:r w:rsidR="003A1B05">
              <w:rPr>
                <w:noProof/>
                <w:webHidden/>
              </w:rPr>
            </w:r>
            <w:r w:rsidR="003A1B05">
              <w:rPr>
                <w:noProof/>
                <w:webHidden/>
              </w:rPr>
              <w:fldChar w:fldCharType="separate"/>
            </w:r>
            <w:r w:rsidR="00F4464B">
              <w:rPr>
                <w:noProof/>
                <w:webHidden/>
              </w:rPr>
              <w:t>38</w:t>
            </w:r>
            <w:r w:rsidR="003A1B05">
              <w:rPr>
                <w:noProof/>
                <w:webHidden/>
              </w:rPr>
              <w:fldChar w:fldCharType="end"/>
            </w:r>
          </w:hyperlink>
        </w:p>
        <w:p w14:paraId="4FAE66BB" w14:textId="2A1011C5" w:rsidR="003A1B05" w:rsidRDefault="00E8606D">
          <w:pPr>
            <w:pStyle w:val="TM1"/>
            <w:tabs>
              <w:tab w:val="right" w:leader="dot" w:pos="9062"/>
            </w:tabs>
            <w:rPr>
              <w:rFonts w:eastAsiaTheme="minorEastAsia"/>
              <w:noProof/>
              <w:lang w:eastAsia="fr-FR"/>
            </w:rPr>
          </w:pPr>
          <w:hyperlink w:anchor="_Toc496544780" w:history="1">
            <w:r w:rsidR="003A1B05" w:rsidRPr="00C47CBF">
              <w:rPr>
                <w:rStyle w:val="Lienhypertexte"/>
                <w:noProof/>
              </w:rPr>
              <w:t>Demande concernant l’ouverture des données publiques</w:t>
            </w:r>
            <w:r w:rsidR="003A1B05">
              <w:rPr>
                <w:noProof/>
                <w:webHidden/>
              </w:rPr>
              <w:tab/>
            </w:r>
            <w:r w:rsidR="003A1B05">
              <w:rPr>
                <w:noProof/>
                <w:webHidden/>
              </w:rPr>
              <w:fldChar w:fldCharType="begin"/>
            </w:r>
            <w:r w:rsidR="003A1B05">
              <w:rPr>
                <w:noProof/>
                <w:webHidden/>
              </w:rPr>
              <w:instrText xml:space="preserve"> PAGEREF _Toc496544780 \h </w:instrText>
            </w:r>
            <w:r w:rsidR="003A1B05">
              <w:rPr>
                <w:noProof/>
                <w:webHidden/>
              </w:rPr>
            </w:r>
            <w:r w:rsidR="003A1B05">
              <w:rPr>
                <w:noProof/>
                <w:webHidden/>
              </w:rPr>
              <w:fldChar w:fldCharType="separate"/>
            </w:r>
            <w:r w:rsidR="00F4464B">
              <w:rPr>
                <w:noProof/>
                <w:webHidden/>
              </w:rPr>
              <w:t>44</w:t>
            </w:r>
            <w:r w:rsidR="003A1B05">
              <w:rPr>
                <w:noProof/>
                <w:webHidden/>
              </w:rPr>
              <w:fldChar w:fldCharType="end"/>
            </w:r>
          </w:hyperlink>
        </w:p>
        <w:p w14:paraId="70A8017A" w14:textId="13F0B453" w:rsidR="003A1B05" w:rsidRDefault="00E8606D">
          <w:pPr>
            <w:pStyle w:val="TM1"/>
            <w:tabs>
              <w:tab w:val="right" w:leader="dot" w:pos="9062"/>
            </w:tabs>
            <w:rPr>
              <w:rFonts w:eastAsiaTheme="minorEastAsia"/>
              <w:noProof/>
              <w:lang w:eastAsia="fr-FR"/>
            </w:rPr>
          </w:pPr>
          <w:hyperlink w:anchor="_Toc496544781" w:history="1">
            <w:r w:rsidR="003A1B05" w:rsidRPr="00C47CBF">
              <w:rPr>
                <w:rStyle w:val="Lienhypertexte"/>
                <w:noProof/>
              </w:rPr>
              <w:t>Engagement citoyen et capacités concernant les données publiques</w:t>
            </w:r>
            <w:r w:rsidR="003A1B05">
              <w:rPr>
                <w:noProof/>
                <w:webHidden/>
              </w:rPr>
              <w:tab/>
            </w:r>
            <w:r w:rsidR="003A1B05">
              <w:rPr>
                <w:noProof/>
                <w:webHidden/>
              </w:rPr>
              <w:fldChar w:fldCharType="begin"/>
            </w:r>
            <w:r w:rsidR="003A1B05">
              <w:rPr>
                <w:noProof/>
                <w:webHidden/>
              </w:rPr>
              <w:instrText xml:space="preserve"> PAGEREF _Toc496544781 \h </w:instrText>
            </w:r>
            <w:r w:rsidR="003A1B05">
              <w:rPr>
                <w:noProof/>
                <w:webHidden/>
              </w:rPr>
            </w:r>
            <w:r w:rsidR="003A1B05">
              <w:rPr>
                <w:noProof/>
                <w:webHidden/>
              </w:rPr>
              <w:fldChar w:fldCharType="separate"/>
            </w:r>
            <w:r w:rsidR="00F4464B">
              <w:rPr>
                <w:noProof/>
                <w:webHidden/>
              </w:rPr>
              <w:t>49</w:t>
            </w:r>
            <w:r w:rsidR="003A1B05">
              <w:rPr>
                <w:noProof/>
                <w:webHidden/>
              </w:rPr>
              <w:fldChar w:fldCharType="end"/>
            </w:r>
          </w:hyperlink>
        </w:p>
        <w:p w14:paraId="784D9496" w14:textId="306B0339" w:rsidR="003A1B05" w:rsidRDefault="00E8606D">
          <w:pPr>
            <w:pStyle w:val="TM1"/>
            <w:tabs>
              <w:tab w:val="right" w:leader="dot" w:pos="9062"/>
            </w:tabs>
            <w:rPr>
              <w:rFonts w:eastAsiaTheme="minorEastAsia"/>
              <w:noProof/>
              <w:lang w:eastAsia="fr-FR"/>
            </w:rPr>
          </w:pPr>
          <w:hyperlink w:anchor="_Toc496544782" w:history="1">
            <w:r w:rsidR="003A1B05" w:rsidRPr="00C47CBF">
              <w:rPr>
                <w:rStyle w:val="Lienhypertexte"/>
                <w:noProof/>
              </w:rPr>
              <w:t>Financement d’un programme d’ouverture des données publiques</w:t>
            </w:r>
            <w:r w:rsidR="003A1B05">
              <w:rPr>
                <w:noProof/>
                <w:webHidden/>
              </w:rPr>
              <w:tab/>
            </w:r>
            <w:r w:rsidR="003A1B05">
              <w:rPr>
                <w:noProof/>
                <w:webHidden/>
              </w:rPr>
              <w:fldChar w:fldCharType="begin"/>
            </w:r>
            <w:r w:rsidR="003A1B05">
              <w:rPr>
                <w:noProof/>
                <w:webHidden/>
              </w:rPr>
              <w:instrText xml:space="preserve"> PAGEREF _Toc496544782 \h </w:instrText>
            </w:r>
            <w:r w:rsidR="003A1B05">
              <w:rPr>
                <w:noProof/>
                <w:webHidden/>
              </w:rPr>
            </w:r>
            <w:r w:rsidR="003A1B05">
              <w:rPr>
                <w:noProof/>
                <w:webHidden/>
              </w:rPr>
              <w:fldChar w:fldCharType="separate"/>
            </w:r>
            <w:r w:rsidR="00F4464B">
              <w:rPr>
                <w:noProof/>
                <w:webHidden/>
              </w:rPr>
              <w:t>54</w:t>
            </w:r>
            <w:r w:rsidR="003A1B05">
              <w:rPr>
                <w:noProof/>
                <w:webHidden/>
              </w:rPr>
              <w:fldChar w:fldCharType="end"/>
            </w:r>
          </w:hyperlink>
        </w:p>
        <w:p w14:paraId="534A34A7" w14:textId="5C9A586C" w:rsidR="003A1B05" w:rsidRDefault="00E8606D">
          <w:pPr>
            <w:pStyle w:val="TM1"/>
            <w:tabs>
              <w:tab w:val="right" w:leader="dot" w:pos="9062"/>
            </w:tabs>
            <w:rPr>
              <w:rFonts w:eastAsiaTheme="minorEastAsia"/>
              <w:noProof/>
              <w:lang w:eastAsia="fr-FR"/>
            </w:rPr>
          </w:pPr>
          <w:hyperlink w:anchor="_Toc496544783" w:history="1">
            <w:r w:rsidR="003A1B05" w:rsidRPr="00C47CBF">
              <w:rPr>
                <w:rStyle w:val="Lienhypertexte"/>
                <w:noProof/>
              </w:rPr>
              <w:t>Infrastructures nationales technologiques et compétences informatiques</w:t>
            </w:r>
            <w:r w:rsidR="003A1B05">
              <w:rPr>
                <w:noProof/>
                <w:webHidden/>
              </w:rPr>
              <w:tab/>
            </w:r>
            <w:r w:rsidR="003A1B05">
              <w:rPr>
                <w:noProof/>
                <w:webHidden/>
              </w:rPr>
              <w:fldChar w:fldCharType="begin"/>
            </w:r>
            <w:r w:rsidR="003A1B05">
              <w:rPr>
                <w:noProof/>
                <w:webHidden/>
              </w:rPr>
              <w:instrText xml:space="preserve"> PAGEREF _Toc496544783 \h </w:instrText>
            </w:r>
            <w:r w:rsidR="003A1B05">
              <w:rPr>
                <w:noProof/>
                <w:webHidden/>
              </w:rPr>
            </w:r>
            <w:r w:rsidR="003A1B05">
              <w:rPr>
                <w:noProof/>
                <w:webHidden/>
              </w:rPr>
              <w:fldChar w:fldCharType="separate"/>
            </w:r>
            <w:r w:rsidR="00F4464B">
              <w:rPr>
                <w:noProof/>
                <w:webHidden/>
              </w:rPr>
              <w:t>58</w:t>
            </w:r>
            <w:r w:rsidR="003A1B05">
              <w:rPr>
                <w:noProof/>
                <w:webHidden/>
              </w:rPr>
              <w:fldChar w:fldCharType="end"/>
            </w:r>
          </w:hyperlink>
        </w:p>
        <w:p w14:paraId="60D2D5BD" w14:textId="073A97F6" w:rsidR="003A1B05" w:rsidRDefault="00E8606D">
          <w:pPr>
            <w:pStyle w:val="TM1"/>
            <w:tabs>
              <w:tab w:val="right" w:leader="dot" w:pos="9062"/>
            </w:tabs>
            <w:rPr>
              <w:rFonts w:eastAsiaTheme="minorEastAsia"/>
              <w:noProof/>
              <w:lang w:eastAsia="fr-FR"/>
            </w:rPr>
          </w:pPr>
          <w:hyperlink w:anchor="_Toc496544784" w:history="1">
            <w:r w:rsidR="003A1B05" w:rsidRPr="00C47CBF">
              <w:rPr>
                <w:rStyle w:val="Lienhypertexte"/>
                <w:noProof/>
              </w:rPr>
              <w:t>Conclusion</w:t>
            </w:r>
            <w:r w:rsidR="003A1B05">
              <w:rPr>
                <w:noProof/>
                <w:webHidden/>
              </w:rPr>
              <w:tab/>
            </w:r>
            <w:r w:rsidR="003A1B05">
              <w:rPr>
                <w:noProof/>
                <w:webHidden/>
              </w:rPr>
              <w:fldChar w:fldCharType="begin"/>
            </w:r>
            <w:r w:rsidR="003A1B05">
              <w:rPr>
                <w:noProof/>
                <w:webHidden/>
              </w:rPr>
              <w:instrText xml:space="preserve"> PAGEREF _Toc496544784 \h </w:instrText>
            </w:r>
            <w:r w:rsidR="003A1B05">
              <w:rPr>
                <w:noProof/>
                <w:webHidden/>
              </w:rPr>
            </w:r>
            <w:r w:rsidR="003A1B05">
              <w:rPr>
                <w:noProof/>
                <w:webHidden/>
              </w:rPr>
              <w:fldChar w:fldCharType="separate"/>
            </w:r>
            <w:r w:rsidR="00F4464B">
              <w:rPr>
                <w:noProof/>
                <w:webHidden/>
              </w:rPr>
              <w:t>62</w:t>
            </w:r>
            <w:r w:rsidR="003A1B05">
              <w:rPr>
                <w:noProof/>
                <w:webHidden/>
              </w:rPr>
              <w:fldChar w:fldCharType="end"/>
            </w:r>
          </w:hyperlink>
        </w:p>
        <w:p w14:paraId="135EA328" w14:textId="1978E147" w:rsidR="003A1B05" w:rsidRDefault="00E8606D">
          <w:pPr>
            <w:pStyle w:val="TM2"/>
            <w:tabs>
              <w:tab w:val="right" w:leader="dot" w:pos="9062"/>
            </w:tabs>
            <w:rPr>
              <w:rFonts w:eastAsiaTheme="minorEastAsia"/>
              <w:noProof/>
              <w:lang w:eastAsia="fr-FR"/>
            </w:rPr>
          </w:pPr>
          <w:hyperlink w:anchor="_Toc496544785" w:history="1">
            <w:r w:rsidR="003A1B05" w:rsidRPr="00C47CBF">
              <w:rPr>
                <w:rStyle w:val="Lienhypertexte"/>
                <w:noProof/>
              </w:rPr>
              <w:t>Etat des lieux</w:t>
            </w:r>
            <w:r w:rsidR="003A1B05">
              <w:rPr>
                <w:noProof/>
                <w:webHidden/>
              </w:rPr>
              <w:tab/>
            </w:r>
            <w:r w:rsidR="003A1B05">
              <w:rPr>
                <w:noProof/>
                <w:webHidden/>
              </w:rPr>
              <w:fldChar w:fldCharType="begin"/>
            </w:r>
            <w:r w:rsidR="003A1B05">
              <w:rPr>
                <w:noProof/>
                <w:webHidden/>
              </w:rPr>
              <w:instrText xml:space="preserve"> PAGEREF _Toc496544785 \h </w:instrText>
            </w:r>
            <w:r w:rsidR="003A1B05">
              <w:rPr>
                <w:noProof/>
                <w:webHidden/>
              </w:rPr>
            </w:r>
            <w:r w:rsidR="003A1B05">
              <w:rPr>
                <w:noProof/>
                <w:webHidden/>
              </w:rPr>
              <w:fldChar w:fldCharType="separate"/>
            </w:r>
            <w:r w:rsidR="00F4464B">
              <w:rPr>
                <w:noProof/>
                <w:webHidden/>
              </w:rPr>
              <w:t>62</w:t>
            </w:r>
            <w:r w:rsidR="003A1B05">
              <w:rPr>
                <w:noProof/>
                <w:webHidden/>
              </w:rPr>
              <w:fldChar w:fldCharType="end"/>
            </w:r>
          </w:hyperlink>
        </w:p>
        <w:p w14:paraId="30A5F3CC" w14:textId="43DBE365" w:rsidR="003A1B05" w:rsidRDefault="00E8606D">
          <w:pPr>
            <w:pStyle w:val="TM2"/>
            <w:tabs>
              <w:tab w:val="right" w:leader="dot" w:pos="9062"/>
            </w:tabs>
            <w:rPr>
              <w:rFonts w:eastAsiaTheme="minorEastAsia"/>
              <w:noProof/>
              <w:lang w:eastAsia="fr-FR"/>
            </w:rPr>
          </w:pPr>
          <w:hyperlink w:anchor="_Toc496544786" w:history="1">
            <w:r w:rsidR="003A1B05" w:rsidRPr="00C47CBF">
              <w:rPr>
                <w:rStyle w:val="Lienhypertexte"/>
                <w:noProof/>
              </w:rPr>
              <w:t>Recommandations</w:t>
            </w:r>
            <w:r w:rsidR="003A1B05">
              <w:rPr>
                <w:noProof/>
                <w:webHidden/>
              </w:rPr>
              <w:tab/>
            </w:r>
            <w:r w:rsidR="003A1B05">
              <w:rPr>
                <w:noProof/>
                <w:webHidden/>
              </w:rPr>
              <w:fldChar w:fldCharType="begin"/>
            </w:r>
            <w:r w:rsidR="003A1B05">
              <w:rPr>
                <w:noProof/>
                <w:webHidden/>
              </w:rPr>
              <w:instrText xml:space="preserve"> PAGEREF _Toc496544786 \h </w:instrText>
            </w:r>
            <w:r w:rsidR="003A1B05">
              <w:rPr>
                <w:noProof/>
                <w:webHidden/>
              </w:rPr>
            </w:r>
            <w:r w:rsidR="003A1B05">
              <w:rPr>
                <w:noProof/>
                <w:webHidden/>
              </w:rPr>
              <w:fldChar w:fldCharType="separate"/>
            </w:r>
            <w:r w:rsidR="00F4464B">
              <w:rPr>
                <w:noProof/>
                <w:webHidden/>
              </w:rPr>
              <w:t>66</w:t>
            </w:r>
            <w:r w:rsidR="003A1B05">
              <w:rPr>
                <w:noProof/>
                <w:webHidden/>
              </w:rPr>
              <w:fldChar w:fldCharType="end"/>
            </w:r>
          </w:hyperlink>
        </w:p>
        <w:p w14:paraId="6986B0C6" w14:textId="36F7F653" w:rsidR="003A1B05" w:rsidRDefault="00E8606D">
          <w:pPr>
            <w:pStyle w:val="TM1"/>
            <w:tabs>
              <w:tab w:val="right" w:leader="dot" w:pos="9062"/>
            </w:tabs>
            <w:rPr>
              <w:rFonts w:eastAsiaTheme="minorEastAsia"/>
              <w:noProof/>
              <w:lang w:eastAsia="fr-FR"/>
            </w:rPr>
          </w:pPr>
          <w:hyperlink w:anchor="_Toc496544787" w:history="1">
            <w:r w:rsidR="003A1B05" w:rsidRPr="00C47CBF">
              <w:rPr>
                <w:rStyle w:val="Lienhypertexte"/>
                <w:noProof/>
              </w:rPr>
              <w:t>Plan d’Actions</w:t>
            </w:r>
            <w:r w:rsidR="003A1B05">
              <w:rPr>
                <w:noProof/>
                <w:webHidden/>
              </w:rPr>
              <w:tab/>
            </w:r>
            <w:r w:rsidR="003A1B05">
              <w:rPr>
                <w:noProof/>
                <w:webHidden/>
              </w:rPr>
              <w:fldChar w:fldCharType="begin"/>
            </w:r>
            <w:r w:rsidR="003A1B05">
              <w:rPr>
                <w:noProof/>
                <w:webHidden/>
              </w:rPr>
              <w:instrText xml:space="preserve"> PAGEREF _Toc496544787 \h </w:instrText>
            </w:r>
            <w:r w:rsidR="003A1B05">
              <w:rPr>
                <w:noProof/>
                <w:webHidden/>
              </w:rPr>
            </w:r>
            <w:r w:rsidR="003A1B05">
              <w:rPr>
                <w:noProof/>
                <w:webHidden/>
              </w:rPr>
              <w:fldChar w:fldCharType="separate"/>
            </w:r>
            <w:r w:rsidR="00F4464B">
              <w:rPr>
                <w:noProof/>
                <w:webHidden/>
              </w:rPr>
              <w:t>71</w:t>
            </w:r>
            <w:r w:rsidR="003A1B05">
              <w:rPr>
                <w:noProof/>
                <w:webHidden/>
              </w:rPr>
              <w:fldChar w:fldCharType="end"/>
            </w:r>
          </w:hyperlink>
        </w:p>
        <w:p w14:paraId="6F3889B2" w14:textId="0E231E9C" w:rsidR="003A1B05" w:rsidRDefault="00E8606D">
          <w:pPr>
            <w:pStyle w:val="TM2"/>
            <w:tabs>
              <w:tab w:val="right" w:leader="dot" w:pos="9062"/>
            </w:tabs>
            <w:rPr>
              <w:rFonts w:eastAsiaTheme="minorEastAsia"/>
              <w:noProof/>
              <w:lang w:eastAsia="fr-FR"/>
            </w:rPr>
          </w:pPr>
          <w:hyperlink w:anchor="_Toc496544788" w:history="1">
            <w:r w:rsidR="003A1B05" w:rsidRPr="00C47CBF">
              <w:rPr>
                <w:rStyle w:val="Lienhypertexte"/>
                <w:noProof/>
              </w:rPr>
              <w:t>Description</w:t>
            </w:r>
            <w:r w:rsidR="003A1B05">
              <w:rPr>
                <w:noProof/>
                <w:webHidden/>
              </w:rPr>
              <w:tab/>
            </w:r>
            <w:r w:rsidR="003A1B05">
              <w:rPr>
                <w:noProof/>
                <w:webHidden/>
              </w:rPr>
              <w:fldChar w:fldCharType="begin"/>
            </w:r>
            <w:r w:rsidR="003A1B05">
              <w:rPr>
                <w:noProof/>
                <w:webHidden/>
              </w:rPr>
              <w:instrText xml:space="preserve"> PAGEREF _Toc496544788 \h </w:instrText>
            </w:r>
            <w:r w:rsidR="003A1B05">
              <w:rPr>
                <w:noProof/>
                <w:webHidden/>
              </w:rPr>
            </w:r>
            <w:r w:rsidR="003A1B05">
              <w:rPr>
                <w:noProof/>
                <w:webHidden/>
              </w:rPr>
              <w:fldChar w:fldCharType="separate"/>
            </w:r>
            <w:r w:rsidR="00F4464B">
              <w:rPr>
                <w:noProof/>
                <w:webHidden/>
              </w:rPr>
              <w:t>71</w:t>
            </w:r>
            <w:r w:rsidR="003A1B05">
              <w:rPr>
                <w:noProof/>
                <w:webHidden/>
              </w:rPr>
              <w:fldChar w:fldCharType="end"/>
            </w:r>
          </w:hyperlink>
        </w:p>
        <w:p w14:paraId="670775D6" w14:textId="160F621F" w:rsidR="003A1B05" w:rsidRDefault="00E8606D">
          <w:pPr>
            <w:pStyle w:val="TM2"/>
            <w:tabs>
              <w:tab w:val="right" w:leader="dot" w:pos="9062"/>
            </w:tabs>
            <w:rPr>
              <w:rFonts w:eastAsiaTheme="minorEastAsia"/>
              <w:noProof/>
              <w:lang w:eastAsia="fr-FR"/>
            </w:rPr>
          </w:pPr>
          <w:hyperlink w:anchor="_Toc496544789" w:history="1">
            <w:r w:rsidR="003A1B05" w:rsidRPr="00C47CBF">
              <w:rPr>
                <w:rStyle w:val="Lienhypertexte"/>
                <w:noProof/>
              </w:rPr>
              <w:t>Vue Tabulaire</w:t>
            </w:r>
            <w:r w:rsidR="003A1B05">
              <w:rPr>
                <w:noProof/>
                <w:webHidden/>
              </w:rPr>
              <w:tab/>
            </w:r>
            <w:r w:rsidR="003A1B05">
              <w:rPr>
                <w:noProof/>
                <w:webHidden/>
              </w:rPr>
              <w:fldChar w:fldCharType="begin"/>
            </w:r>
            <w:r w:rsidR="003A1B05">
              <w:rPr>
                <w:noProof/>
                <w:webHidden/>
              </w:rPr>
              <w:instrText xml:space="preserve"> PAGEREF _Toc496544789 \h </w:instrText>
            </w:r>
            <w:r w:rsidR="003A1B05">
              <w:rPr>
                <w:noProof/>
                <w:webHidden/>
              </w:rPr>
            </w:r>
            <w:r w:rsidR="003A1B05">
              <w:rPr>
                <w:noProof/>
                <w:webHidden/>
              </w:rPr>
              <w:fldChar w:fldCharType="separate"/>
            </w:r>
            <w:r w:rsidR="00F4464B">
              <w:rPr>
                <w:noProof/>
                <w:webHidden/>
              </w:rPr>
              <w:t>83</w:t>
            </w:r>
            <w:r w:rsidR="003A1B05">
              <w:rPr>
                <w:noProof/>
                <w:webHidden/>
              </w:rPr>
              <w:fldChar w:fldCharType="end"/>
            </w:r>
          </w:hyperlink>
        </w:p>
        <w:p w14:paraId="24407C78" w14:textId="34F76C41" w:rsidR="003A1B05" w:rsidRDefault="00E8606D">
          <w:pPr>
            <w:pStyle w:val="TM1"/>
            <w:tabs>
              <w:tab w:val="right" w:leader="dot" w:pos="9062"/>
            </w:tabs>
            <w:rPr>
              <w:rFonts w:eastAsiaTheme="minorEastAsia"/>
              <w:noProof/>
              <w:lang w:eastAsia="fr-FR"/>
            </w:rPr>
          </w:pPr>
          <w:hyperlink w:anchor="_Toc496544790" w:history="1">
            <w:r w:rsidR="003A1B05" w:rsidRPr="00C47CBF">
              <w:rPr>
                <w:rStyle w:val="Lienhypertexte"/>
                <w:noProof/>
              </w:rPr>
              <w:t>Annexe A – Rencontres</w:t>
            </w:r>
            <w:r w:rsidR="003A1B05">
              <w:rPr>
                <w:noProof/>
                <w:webHidden/>
              </w:rPr>
              <w:tab/>
            </w:r>
            <w:r w:rsidR="003A1B05">
              <w:rPr>
                <w:noProof/>
                <w:webHidden/>
              </w:rPr>
              <w:fldChar w:fldCharType="begin"/>
            </w:r>
            <w:r w:rsidR="003A1B05">
              <w:rPr>
                <w:noProof/>
                <w:webHidden/>
              </w:rPr>
              <w:instrText xml:space="preserve"> PAGEREF _Toc496544790 \h </w:instrText>
            </w:r>
            <w:r w:rsidR="003A1B05">
              <w:rPr>
                <w:noProof/>
                <w:webHidden/>
              </w:rPr>
            </w:r>
            <w:r w:rsidR="003A1B05">
              <w:rPr>
                <w:noProof/>
                <w:webHidden/>
              </w:rPr>
              <w:fldChar w:fldCharType="separate"/>
            </w:r>
            <w:r w:rsidR="00F4464B">
              <w:rPr>
                <w:noProof/>
                <w:webHidden/>
              </w:rPr>
              <w:t>91</w:t>
            </w:r>
            <w:r w:rsidR="003A1B05">
              <w:rPr>
                <w:noProof/>
                <w:webHidden/>
              </w:rPr>
              <w:fldChar w:fldCharType="end"/>
            </w:r>
          </w:hyperlink>
        </w:p>
        <w:p w14:paraId="58F3C662" w14:textId="1624D9D6" w:rsidR="003A1B05" w:rsidRDefault="00E8606D">
          <w:pPr>
            <w:pStyle w:val="TM1"/>
            <w:tabs>
              <w:tab w:val="right" w:leader="dot" w:pos="9062"/>
            </w:tabs>
            <w:rPr>
              <w:rFonts w:eastAsiaTheme="minorEastAsia"/>
              <w:noProof/>
              <w:lang w:eastAsia="fr-FR"/>
            </w:rPr>
          </w:pPr>
          <w:hyperlink w:anchor="_Toc496544791" w:history="1">
            <w:r w:rsidR="003A1B05" w:rsidRPr="00C47CBF">
              <w:rPr>
                <w:rStyle w:val="Lienhypertexte"/>
                <w:noProof/>
              </w:rPr>
              <w:t>Annexe B – Atelier de lancement</w:t>
            </w:r>
            <w:r w:rsidR="003A1B05">
              <w:rPr>
                <w:noProof/>
                <w:webHidden/>
              </w:rPr>
              <w:tab/>
            </w:r>
            <w:r w:rsidR="003A1B05">
              <w:rPr>
                <w:noProof/>
                <w:webHidden/>
              </w:rPr>
              <w:fldChar w:fldCharType="begin"/>
            </w:r>
            <w:r w:rsidR="003A1B05">
              <w:rPr>
                <w:noProof/>
                <w:webHidden/>
              </w:rPr>
              <w:instrText xml:space="preserve"> PAGEREF _Toc496544791 \h </w:instrText>
            </w:r>
            <w:r w:rsidR="003A1B05">
              <w:rPr>
                <w:noProof/>
                <w:webHidden/>
              </w:rPr>
            </w:r>
            <w:r w:rsidR="003A1B05">
              <w:rPr>
                <w:noProof/>
                <w:webHidden/>
              </w:rPr>
              <w:fldChar w:fldCharType="separate"/>
            </w:r>
            <w:r w:rsidR="00F4464B">
              <w:rPr>
                <w:noProof/>
                <w:webHidden/>
              </w:rPr>
              <w:t>95</w:t>
            </w:r>
            <w:r w:rsidR="003A1B05">
              <w:rPr>
                <w:noProof/>
                <w:webHidden/>
              </w:rPr>
              <w:fldChar w:fldCharType="end"/>
            </w:r>
          </w:hyperlink>
        </w:p>
        <w:p w14:paraId="1B0E7FAF" w14:textId="2D30442B" w:rsidR="003A1B05" w:rsidRDefault="00E8606D">
          <w:pPr>
            <w:pStyle w:val="TM1"/>
            <w:tabs>
              <w:tab w:val="right" w:leader="dot" w:pos="9062"/>
            </w:tabs>
            <w:rPr>
              <w:rFonts w:eastAsiaTheme="minorEastAsia"/>
              <w:noProof/>
              <w:lang w:eastAsia="fr-FR"/>
            </w:rPr>
          </w:pPr>
          <w:hyperlink w:anchor="_Toc496544792" w:history="1">
            <w:r w:rsidR="003A1B05" w:rsidRPr="00C47CBF">
              <w:rPr>
                <w:rStyle w:val="Lienhypertexte"/>
                <w:noProof/>
              </w:rPr>
              <w:t>Annexe C - Jeux de données généraux</w:t>
            </w:r>
            <w:r w:rsidR="003A1B05">
              <w:rPr>
                <w:noProof/>
                <w:webHidden/>
              </w:rPr>
              <w:tab/>
            </w:r>
            <w:r w:rsidR="003A1B05">
              <w:rPr>
                <w:noProof/>
                <w:webHidden/>
              </w:rPr>
              <w:fldChar w:fldCharType="begin"/>
            </w:r>
            <w:r w:rsidR="003A1B05">
              <w:rPr>
                <w:noProof/>
                <w:webHidden/>
              </w:rPr>
              <w:instrText xml:space="preserve"> PAGEREF _Toc496544792 \h </w:instrText>
            </w:r>
            <w:r w:rsidR="003A1B05">
              <w:rPr>
                <w:noProof/>
                <w:webHidden/>
              </w:rPr>
            </w:r>
            <w:r w:rsidR="003A1B05">
              <w:rPr>
                <w:noProof/>
                <w:webHidden/>
              </w:rPr>
              <w:fldChar w:fldCharType="separate"/>
            </w:r>
            <w:r w:rsidR="00F4464B">
              <w:rPr>
                <w:noProof/>
                <w:webHidden/>
              </w:rPr>
              <w:t>98</w:t>
            </w:r>
            <w:r w:rsidR="003A1B05">
              <w:rPr>
                <w:noProof/>
                <w:webHidden/>
              </w:rPr>
              <w:fldChar w:fldCharType="end"/>
            </w:r>
          </w:hyperlink>
        </w:p>
        <w:p w14:paraId="16452D80" w14:textId="0ED9581F" w:rsidR="003A1B05" w:rsidRDefault="00E8606D">
          <w:pPr>
            <w:pStyle w:val="TM1"/>
            <w:tabs>
              <w:tab w:val="right" w:leader="dot" w:pos="9062"/>
            </w:tabs>
            <w:rPr>
              <w:rFonts w:eastAsiaTheme="minorEastAsia"/>
              <w:noProof/>
              <w:lang w:eastAsia="fr-FR"/>
            </w:rPr>
          </w:pPr>
          <w:hyperlink w:anchor="_Toc496544793" w:history="1">
            <w:r w:rsidR="003A1B05" w:rsidRPr="00C47CBF">
              <w:rPr>
                <w:rStyle w:val="Lienhypertexte"/>
                <w:noProof/>
              </w:rPr>
              <w:t>Annexe D – Inventaire</w:t>
            </w:r>
            <w:r w:rsidR="003A1B05">
              <w:rPr>
                <w:noProof/>
                <w:webHidden/>
              </w:rPr>
              <w:tab/>
            </w:r>
            <w:r w:rsidR="003A1B05">
              <w:rPr>
                <w:noProof/>
                <w:webHidden/>
              </w:rPr>
              <w:fldChar w:fldCharType="begin"/>
            </w:r>
            <w:r w:rsidR="003A1B05">
              <w:rPr>
                <w:noProof/>
                <w:webHidden/>
              </w:rPr>
              <w:instrText xml:space="preserve"> PAGEREF _Toc496544793 \h </w:instrText>
            </w:r>
            <w:r w:rsidR="003A1B05">
              <w:rPr>
                <w:noProof/>
                <w:webHidden/>
              </w:rPr>
            </w:r>
            <w:r w:rsidR="003A1B05">
              <w:rPr>
                <w:noProof/>
                <w:webHidden/>
              </w:rPr>
              <w:fldChar w:fldCharType="separate"/>
            </w:r>
            <w:r w:rsidR="00F4464B">
              <w:rPr>
                <w:noProof/>
                <w:webHidden/>
              </w:rPr>
              <w:t>104</w:t>
            </w:r>
            <w:r w:rsidR="003A1B05">
              <w:rPr>
                <w:noProof/>
                <w:webHidden/>
              </w:rPr>
              <w:fldChar w:fldCharType="end"/>
            </w:r>
          </w:hyperlink>
        </w:p>
        <w:p w14:paraId="76EF4191" w14:textId="0797DD31" w:rsidR="003A1B05" w:rsidRDefault="00E8606D">
          <w:pPr>
            <w:pStyle w:val="TM1"/>
            <w:tabs>
              <w:tab w:val="right" w:leader="dot" w:pos="9062"/>
            </w:tabs>
            <w:rPr>
              <w:rFonts w:eastAsiaTheme="minorEastAsia"/>
              <w:noProof/>
              <w:lang w:eastAsia="fr-FR"/>
            </w:rPr>
          </w:pPr>
          <w:hyperlink w:anchor="_Toc496544794" w:history="1">
            <w:r w:rsidR="003A1B05" w:rsidRPr="00C47CBF">
              <w:rPr>
                <w:rStyle w:val="Lienhypertexte"/>
                <w:noProof/>
                <w:lang w:val="en-US"/>
              </w:rPr>
              <w:t>Annexe E – Introduction à l’Open Data</w:t>
            </w:r>
            <w:r w:rsidR="003A1B05">
              <w:rPr>
                <w:noProof/>
                <w:webHidden/>
              </w:rPr>
              <w:tab/>
            </w:r>
            <w:r w:rsidR="003A1B05">
              <w:rPr>
                <w:noProof/>
                <w:webHidden/>
              </w:rPr>
              <w:fldChar w:fldCharType="begin"/>
            </w:r>
            <w:r w:rsidR="003A1B05">
              <w:rPr>
                <w:noProof/>
                <w:webHidden/>
              </w:rPr>
              <w:instrText xml:space="preserve"> PAGEREF _Toc496544794 \h </w:instrText>
            </w:r>
            <w:r w:rsidR="003A1B05">
              <w:rPr>
                <w:noProof/>
                <w:webHidden/>
              </w:rPr>
            </w:r>
            <w:r w:rsidR="003A1B05">
              <w:rPr>
                <w:noProof/>
                <w:webHidden/>
              </w:rPr>
              <w:fldChar w:fldCharType="separate"/>
            </w:r>
            <w:r w:rsidR="00F4464B">
              <w:rPr>
                <w:noProof/>
                <w:webHidden/>
              </w:rPr>
              <w:t>106</w:t>
            </w:r>
            <w:r w:rsidR="003A1B05">
              <w:rPr>
                <w:noProof/>
                <w:webHidden/>
              </w:rPr>
              <w:fldChar w:fldCharType="end"/>
            </w:r>
          </w:hyperlink>
        </w:p>
        <w:p w14:paraId="0AEE1588" w14:textId="3A917906" w:rsidR="003031BA" w:rsidRDefault="003031BA">
          <w:r>
            <w:rPr>
              <w:b/>
              <w:bCs/>
            </w:rPr>
            <w:fldChar w:fldCharType="end"/>
          </w:r>
        </w:p>
      </w:sdtContent>
    </w:sdt>
    <w:p w14:paraId="6BF046D4" w14:textId="77777777" w:rsidR="00407963" w:rsidRPr="007920A9" w:rsidRDefault="00407963" w:rsidP="00026C12">
      <w:pPr>
        <w:jc w:val="both"/>
        <w:rPr>
          <w:rFonts w:eastAsiaTheme="majorEastAsia" w:cstheme="majorBidi"/>
          <w:b/>
          <w:color w:val="548DD4" w:themeColor="text2" w:themeTint="99"/>
          <w:sz w:val="28"/>
          <w:szCs w:val="28"/>
        </w:rPr>
      </w:pPr>
      <w:r w:rsidRPr="007920A9">
        <w:rPr>
          <w:bCs/>
          <w:color w:val="548DD4" w:themeColor="text2" w:themeTint="99"/>
        </w:rPr>
        <w:br w:type="page"/>
      </w:r>
    </w:p>
    <w:p w14:paraId="7BDA2654" w14:textId="77777777" w:rsidR="00FE4D2C" w:rsidRPr="007920A9" w:rsidRDefault="00407963" w:rsidP="00026C12">
      <w:pPr>
        <w:pStyle w:val="Titre1"/>
        <w:jc w:val="both"/>
      </w:pPr>
      <w:bookmarkStart w:id="5" w:name="_Toc459307831"/>
      <w:bookmarkStart w:id="6" w:name="_Toc496544772"/>
      <w:r w:rsidRPr="007920A9">
        <w:lastRenderedPageBreak/>
        <w:t>Remerciements</w:t>
      </w:r>
      <w:bookmarkEnd w:id="5"/>
      <w:bookmarkEnd w:id="6"/>
    </w:p>
    <w:p w14:paraId="2E2CD218" w14:textId="2EB3715D" w:rsidR="00944B8C" w:rsidRDefault="00FD2519" w:rsidP="00E655AB">
      <w:pPr>
        <w:autoSpaceDE w:val="0"/>
        <w:autoSpaceDN w:val="0"/>
        <w:adjustRightInd w:val="0"/>
        <w:spacing w:after="0" w:line="240" w:lineRule="auto"/>
        <w:jc w:val="both"/>
        <w:rPr>
          <w:rFonts w:cs="Arial"/>
          <w:sz w:val="24"/>
        </w:rPr>
      </w:pPr>
      <w:r>
        <w:rPr>
          <w:rFonts w:cs="Arial"/>
          <w:sz w:val="24"/>
        </w:rPr>
        <w:t xml:space="preserve">Ce rapport a été développé </w:t>
      </w:r>
      <w:r w:rsidR="00BB751F">
        <w:rPr>
          <w:rFonts w:cs="Arial"/>
          <w:sz w:val="24"/>
        </w:rPr>
        <w:t xml:space="preserve">dans le cadre d’un projet d’appui technique </w:t>
      </w:r>
      <w:r w:rsidR="007B0E2D">
        <w:rPr>
          <w:rFonts w:cs="Arial"/>
          <w:sz w:val="24"/>
        </w:rPr>
        <w:t xml:space="preserve">mené par la Banque mondiale (BM) en collaboration </w:t>
      </w:r>
      <w:r>
        <w:rPr>
          <w:rFonts w:cs="Arial"/>
          <w:sz w:val="24"/>
        </w:rPr>
        <w:t>avec l</w:t>
      </w:r>
      <w:r w:rsidR="00DE74CB">
        <w:rPr>
          <w:rFonts w:cs="Arial"/>
          <w:sz w:val="24"/>
        </w:rPr>
        <w:t xml:space="preserve">e </w:t>
      </w:r>
      <w:r>
        <w:rPr>
          <w:rFonts w:cs="Arial"/>
          <w:sz w:val="24"/>
        </w:rPr>
        <w:t>Gouvernement de la République Tunisienne</w:t>
      </w:r>
      <w:r w:rsidR="000A4580">
        <w:rPr>
          <w:rFonts w:cs="Arial"/>
          <w:sz w:val="24"/>
        </w:rPr>
        <w:t>.</w:t>
      </w:r>
      <w:r>
        <w:rPr>
          <w:rFonts w:cs="Arial"/>
          <w:sz w:val="24"/>
        </w:rPr>
        <w:t xml:space="preserve"> </w:t>
      </w:r>
      <w:r w:rsidR="00996A11">
        <w:rPr>
          <w:rFonts w:cs="Arial"/>
          <w:sz w:val="24"/>
        </w:rPr>
        <w:t>Les auteurs principaux de cette étude sont Stéphane Boyera et Francois Daoust, experts internationaux Open Data de SBC4D</w:t>
      </w:r>
      <w:r w:rsidR="00996A11">
        <w:rPr>
          <w:rStyle w:val="Appelnotedebasdep"/>
          <w:rFonts w:cs="Arial"/>
          <w:sz w:val="24"/>
        </w:rPr>
        <w:footnoteReference w:id="15"/>
      </w:r>
      <w:r w:rsidR="00996A11">
        <w:rPr>
          <w:rFonts w:cs="Arial"/>
          <w:sz w:val="24"/>
        </w:rPr>
        <w:t xml:space="preserve">. </w:t>
      </w:r>
      <w:r>
        <w:rPr>
          <w:rFonts w:cs="Arial"/>
          <w:sz w:val="24"/>
        </w:rPr>
        <w:t>Les</w:t>
      </w:r>
      <w:r w:rsidR="00EB4C2D" w:rsidRPr="00EB4C2D">
        <w:rPr>
          <w:rFonts w:cs="Arial"/>
          <w:sz w:val="24"/>
        </w:rPr>
        <w:t xml:space="preserve"> membres de l’équi</w:t>
      </w:r>
      <w:r w:rsidR="009F0910">
        <w:rPr>
          <w:rFonts w:cs="Arial"/>
          <w:sz w:val="24"/>
        </w:rPr>
        <w:t>pe du projet de la Banque mondiale sont</w:t>
      </w:r>
      <w:r w:rsidR="00EB4C2D">
        <w:rPr>
          <w:rFonts w:cs="Arial"/>
          <w:sz w:val="24"/>
        </w:rPr>
        <w:t xml:space="preserve"> Simon </w:t>
      </w:r>
      <w:r w:rsidR="007B0E2D">
        <w:rPr>
          <w:rFonts w:cs="Arial"/>
          <w:sz w:val="24"/>
        </w:rPr>
        <w:t>O’Meally</w:t>
      </w:r>
      <w:r w:rsidR="00F4464B">
        <w:rPr>
          <w:rFonts w:cs="Arial"/>
          <w:sz w:val="24"/>
        </w:rPr>
        <w:t xml:space="preserve"> (Spécialiste Principal</w:t>
      </w:r>
      <w:r w:rsidR="000A4580">
        <w:rPr>
          <w:rFonts w:cs="Arial"/>
          <w:sz w:val="24"/>
        </w:rPr>
        <w:t xml:space="preserve"> en Gestion du Secteur Public), </w:t>
      </w:r>
      <w:r w:rsidR="00EB4C2D">
        <w:rPr>
          <w:rFonts w:cs="Arial"/>
          <w:sz w:val="24"/>
        </w:rPr>
        <w:t xml:space="preserve">Ibrahim </w:t>
      </w:r>
      <w:r w:rsidR="009F0910">
        <w:rPr>
          <w:rFonts w:cs="Arial"/>
          <w:sz w:val="24"/>
        </w:rPr>
        <w:t>El G</w:t>
      </w:r>
      <w:r w:rsidR="00EB4C2D">
        <w:rPr>
          <w:rFonts w:cs="Arial"/>
          <w:sz w:val="24"/>
        </w:rPr>
        <w:t>handour</w:t>
      </w:r>
      <w:r w:rsidR="000A4580">
        <w:rPr>
          <w:rFonts w:cs="Arial"/>
          <w:sz w:val="24"/>
        </w:rPr>
        <w:t xml:space="preserve"> (Analyste en Secteur Public), et Marion Magali Daull (Consultante en Gouvernance).  </w:t>
      </w:r>
    </w:p>
    <w:p w14:paraId="5E61C0AA" w14:textId="77777777" w:rsidR="00563E19" w:rsidRDefault="00563E19" w:rsidP="00E655AB">
      <w:pPr>
        <w:autoSpaceDE w:val="0"/>
        <w:autoSpaceDN w:val="0"/>
        <w:adjustRightInd w:val="0"/>
        <w:spacing w:after="0" w:line="240" w:lineRule="auto"/>
        <w:jc w:val="both"/>
        <w:rPr>
          <w:rFonts w:cs="Arial"/>
          <w:sz w:val="24"/>
        </w:rPr>
      </w:pPr>
    </w:p>
    <w:p w14:paraId="4057F242" w14:textId="4A4B4834" w:rsidR="00E655AB" w:rsidRDefault="00BF175E" w:rsidP="00996A11">
      <w:pPr>
        <w:autoSpaceDE w:val="0"/>
        <w:autoSpaceDN w:val="0"/>
        <w:adjustRightInd w:val="0"/>
        <w:spacing w:after="0" w:line="240" w:lineRule="auto"/>
        <w:jc w:val="both"/>
        <w:rPr>
          <w:rFonts w:cs="Arial"/>
          <w:sz w:val="24"/>
        </w:rPr>
      </w:pPr>
      <w:r>
        <w:rPr>
          <w:rFonts w:cs="Arial"/>
          <w:sz w:val="24"/>
        </w:rPr>
        <w:t xml:space="preserve">Les </w:t>
      </w:r>
      <w:r w:rsidR="00E655AB">
        <w:rPr>
          <w:rFonts w:cs="Arial"/>
          <w:sz w:val="24"/>
        </w:rPr>
        <w:t>auteur</w:t>
      </w:r>
      <w:r>
        <w:rPr>
          <w:rFonts w:cs="Arial"/>
          <w:sz w:val="24"/>
        </w:rPr>
        <w:t>s</w:t>
      </w:r>
      <w:r w:rsidR="00E655AB">
        <w:rPr>
          <w:rFonts w:cs="Arial"/>
          <w:sz w:val="24"/>
        </w:rPr>
        <w:t xml:space="preserve"> souhaite</w:t>
      </w:r>
      <w:r>
        <w:rPr>
          <w:rFonts w:cs="Arial"/>
          <w:sz w:val="24"/>
        </w:rPr>
        <w:t>nt</w:t>
      </w:r>
      <w:r w:rsidR="00E655AB">
        <w:rPr>
          <w:rFonts w:cs="Arial"/>
          <w:sz w:val="24"/>
        </w:rPr>
        <w:t xml:space="preserve"> remercier tout particulièrement  </w:t>
      </w:r>
      <w:r w:rsidR="00996A11">
        <w:rPr>
          <w:rFonts w:cs="Arial"/>
          <w:sz w:val="24"/>
        </w:rPr>
        <w:t>Khal</w:t>
      </w:r>
      <w:r w:rsidR="007B0E2D">
        <w:rPr>
          <w:rFonts w:cs="Arial"/>
          <w:sz w:val="24"/>
        </w:rPr>
        <w:t>ed Sellami, Directeur Général de l’Unité de l’Administration Electronique à la Présidence du Gouvernement de la République Tunisienne</w:t>
      </w:r>
      <w:r w:rsidR="000A4580">
        <w:rPr>
          <w:rFonts w:cs="Arial"/>
          <w:sz w:val="24"/>
        </w:rPr>
        <w:t>,</w:t>
      </w:r>
      <w:r w:rsidR="007B0E2D">
        <w:rPr>
          <w:rFonts w:cs="Arial"/>
          <w:sz w:val="24"/>
        </w:rPr>
        <w:t xml:space="preserve"> </w:t>
      </w:r>
      <w:r w:rsidR="00E655AB">
        <w:rPr>
          <w:rFonts w:cs="Arial"/>
          <w:sz w:val="24"/>
        </w:rPr>
        <w:t>Rim Garnaoui, sous-directrice</w:t>
      </w:r>
      <w:r w:rsidR="007B0E2D">
        <w:rPr>
          <w:rFonts w:cs="Arial"/>
          <w:sz w:val="24"/>
        </w:rPr>
        <w:t xml:space="preserve"> à </w:t>
      </w:r>
      <w:r w:rsidR="00E655AB">
        <w:rPr>
          <w:rFonts w:cs="Arial"/>
          <w:sz w:val="24"/>
        </w:rPr>
        <w:t>l’</w:t>
      </w:r>
      <w:r w:rsidR="00996A11">
        <w:rPr>
          <w:rFonts w:cs="Arial"/>
          <w:sz w:val="24"/>
        </w:rPr>
        <w:t>UAE</w:t>
      </w:r>
      <w:r w:rsidR="00563E19">
        <w:rPr>
          <w:rFonts w:cs="Arial"/>
          <w:sz w:val="24"/>
        </w:rPr>
        <w:t xml:space="preserve"> </w:t>
      </w:r>
      <w:r w:rsidR="009F0910">
        <w:rPr>
          <w:rFonts w:cs="Arial"/>
          <w:sz w:val="24"/>
        </w:rPr>
        <w:t xml:space="preserve">et Ibrahim El Ghandour de la Banque Mondiale </w:t>
      </w:r>
      <w:r w:rsidR="00E655AB">
        <w:rPr>
          <w:rFonts w:cs="Arial"/>
          <w:sz w:val="24"/>
        </w:rPr>
        <w:t>qui ont participé à toutes les étapes de la mission et ont facilité l’ensemble des rencontres sur le terrain.</w:t>
      </w:r>
      <w:r w:rsidR="009F0910">
        <w:rPr>
          <w:rFonts w:cs="Arial"/>
          <w:sz w:val="24"/>
        </w:rPr>
        <w:t xml:space="preserve"> Nous leurs sommes aussi reconnaissants pour</w:t>
      </w:r>
      <w:r w:rsidR="00E655AB">
        <w:rPr>
          <w:rFonts w:cs="Arial"/>
          <w:sz w:val="24"/>
        </w:rPr>
        <w:t xml:space="preserve"> </w:t>
      </w:r>
      <w:r w:rsidR="000A4580">
        <w:rPr>
          <w:rFonts w:cs="Arial"/>
          <w:sz w:val="24"/>
        </w:rPr>
        <w:t xml:space="preserve">leurs </w:t>
      </w:r>
      <w:r w:rsidR="00996A11" w:rsidRPr="00996A11">
        <w:rPr>
          <w:rFonts w:cs="Arial"/>
          <w:sz w:val="24"/>
        </w:rPr>
        <w:t>contr</w:t>
      </w:r>
      <w:r w:rsidR="000A4580">
        <w:rPr>
          <w:rFonts w:cs="Arial"/>
          <w:sz w:val="24"/>
        </w:rPr>
        <w:t>ibutions</w:t>
      </w:r>
      <w:r w:rsidR="009F0910">
        <w:rPr>
          <w:rFonts w:cs="Arial"/>
          <w:sz w:val="24"/>
        </w:rPr>
        <w:t xml:space="preserve"> à la préparation de ce document. </w:t>
      </w:r>
    </w:p>
    <w:p w14:paraId="1A468438" w14:textId="77777777" w:rsidR="00944B8C" w:rsidRDefault="00944B8C" w:rsidP="00E655AB">
      <w:pPr>
        <w:autoSpaceDE w:val="0"/>
        <w:autoSpaceDN w:val="0"/>
        <w:adjustRightInd w:val="0"/>
        <w:spacing w:after="0" w:line="240" w:lineRule="auto"/>
        <w:jc w:val="both"/>
        <w:rPr>
          <w:rFonts w:cs="Arial"/>
          <w:sz w:val="24"/>
        </w:rPr>
      </w:pPr>
    </w:p>
    <w:p w14:paraId="2B1A0BB6" w14:textId="3E078F40" w:rsidR="00E655AB" w:rsidRDefault="00E655AB" w:rsidP="00E655AB">
      <w:pPr>
        <w:autoSpaceDE w:val="0"/>
        <w:autoSpaceDN w:val="0"/>
        <w:adjustRightInd w:val="0"/>
        <w:spacing w:after="0" w:line="240" w:lineRule="auto"/>
        <w:jc w:val="both"/>
        <w:rPr>
          <w:rFonts w:cs="Arial"/>
          <w:sz w:val="24"/>
        </w:rPr>
      </w:pPr>
      <w:r>
        <w:rPr>
          <w:rFonts w:cs="Arial"/>
          <w:sz w:val="24"/>
        </w:rPr>
        <w:t>L</w:t>
      </w:r>
      <w:r w:rsidR="00BF175E">
        <w:rPr>
          <w:rFonts w:cs="Arial"/>
          <w:sz w:val="24"/>
        </w:rPr>
        <w:t xml:space="preserve">es </w:t>
      </w:r>
      <w:r>
        <w:rPr>
          <w:rFonts w:cs="Arial"/>
          <w:sz w:val="24"/>
        </w:rPr>
        <w:t>auteur</w:t>
      </w:r>
      <w:r w:rsidR="00BF175E">
        <w:rPr>
          <w:rFonts w:cs="Arial"/>
          <w:sz w:val="24"/>
        </w:rPr>
        <w:t>s</w:t>
      </w:r>
      <w:r>
        <w:rPr>
          <w:rFonts w:cs="Arial"/>
          <w:sz w:val="24"/>
        </w:rPr>
        <w:t xml:space="preserve"> souhaite</w:t>
      </w:r>
      <w:r w:rsidR="00BF175E">
        <w:rPr>
          <w:rFonts w:cs="Arial"/>
          <w:sz w:val="24"/>
        </w:rPr>
        <w:t>nt également remercier</w:t>
      </w:r>
      <w:r>
        <w:rPr>
          <w:rFonts w:cs="Arial"/>
          <w:sz w:val="24"/>
        </w:rPr>
        <w:t xml:space="preserve"> </w:t>
      </w:r>
      <w:r w:rsidRPr="00E655AB">
        <w:rPr>
          <w:rFonts w:cs="Arial"/>
          <w:sz w:val="24"/>
        </w:rPr>
        <w:t>Aziz Ben Ghachem</w:t>
      </w:r>
      <w:r>
        <w:rPr>
          <w:rFonts w:cs="Arial"/>
          <w:sz w:val="24"/>
        </w:rPr>
        <w:t xml:space="preserve"> et Amine </w:t>
      </w:r>
      <w:r w:rsidR="009F0910">
        <w:rPr>
          <w:rFonts w:cs="Arial"/>
          <w:sz w:val="24"/>
        </w:rPr>
        <w:t xml:space="preserve">Khechine, </w:t>
      </w:r>
      <w:r>
        <w:rPr>
          <w:rFonts w:cs="Arial"/>
          <w:sz w:val="24"/>
        </w:rPr>
        <w:t>consultants à la Banque Mondiale pour leur participation et leurs contributions durant les différentes phases de ce projet.</w:t>
      </w:r>
    </w:p>
    <w:p w14:paraId="26F4FA24" w14:textId="77777777" w:rsidR="00996A11" w:rsidRDefault="00996A11" w:rsidP="00E655AB">
      <w:pPr>
        <w:autoSpaceDE w:val="0"/>
        <w:autoSpaceDN w:val="0"/>
        <w:adjustRightInd w:val="0"/>
        <w:spacing w:after="0" w:line="240" w:lineRule="auto"/>
        <w:jc w:val="both"/>
        <w:rPr>
          <w:rFonts w:cs="Arial"/>
          <w:sz w:val="24"/>
        </w:rPr>
      </w:pPr>
    </w:p>
    <w:p w14:paraId="513FA519" w14:textId="06248C10" w:rsidR="00E655AB" w:rsidRDefault="00E655AB" w:rsidP="00FD2519">
      <w:pPr>
        <w:autoSpaceDE w:val="0"/>
        <w:autoSpaceDN w:val="0"/>
        <w:adjustRightInd w:val="0"/>
        <w:spacing w:after="0" w:line="240" w:lineRule="auto"/>
        <w:jc w:val="both"/>
        <w:rPr>
          <w:rFonts w:cs="Arial"/>
          <w:sz w:val="24"/>
        </w:rPr>
      </w:pPr>
      <w:r>
        <w:rPr>
          <w:rFonts w:cs="Arial"/>
          <w:sz w:val="24"/>
        </w:rPr>
        <w:t>Ce rapport n’aurait pas non plus été possible sans la contribution active de toutes les personnes rencontrées et citées en annexe A de ce document ainsi que l’ensemble des participants à l’atelier d’ouverture de la mission qui s’est tenu le Mardi 26 Septembre</w:t>
      </w:r>
      <w:r w:rsidR="00D6024C">
        <w:rPr>
          <w:rFonts w:cs="Arial"/>
          <w:sz w:val="24"/>
        </w:rPr>
        <w:t xml:space="preserve"> (Annexe B).</w:t>
      </w:r>
    </w:p>
    <w:p w14:paraId="7EBDD231" w14:textId="77777777" w:rsidR="00FD2519" w:rsidRDefault="00FD2519" w:rsidP="00E655AB">
      <w:pPr>
        <w:autoSpaceDE w:val="0"/>
        <w:autoSpaceDN w:val="0"/>
        <w:adjustRightInd w:val="0"/>
        <w:spacing w:after="0" w:line="240" w:lineRule="auto"/>
        <w:jc w:val="both"/>
        <w:rPr>
          <w:rFonts w:cs="Arial"/>
          <w:sz w:val="24"/>
        </w:rPr>
      </w:pPr>
    </w:p>
    <w:p w14:paraId="11ADA400" w14:textId="430F5208" w:rsidR="00E655AB" w:rsidRDefault="00BF175E" w:rsidP="00E655AB">
      <w:pPr>
        <w:autoSpaceDE w:val="0"/>
        <w:autoSpaceDN w:val="0"/>
        <w:adjustRightInd w:val="0"/>
        <w:spacing w:after="0" w:line="240" w:lineRule="auto"/>
        <w:jc w:val="both"/>
        <w:rPr>
          <w:rFonts w:cs="Arial"/>
          <w:sz w:val="24"/>
        </w:rPr>
      </w:pPr>
      <w:r>
        <w:rPr>
          <w:rFonts w:cs="Arial"/>
          <w:sz w:val="24"/>
        </w:rPr>
        <w:t xml:space="preserve">Enfin, les </w:t>
      </w:r>
      <w:r w:rsidR="00E655AB">
        <w:rPr>
          <w:rFonts w:cs="Arial"/>
          <w:sz w:val="24"/>
        </w:rPr>
        <w:t>auteur</w:t>
      </w:r>
      <w:r>
        <w:rPr>
          <w:rFonts w:cs="Arial"/>
          <w:sz w:val="24"/>
        </w:rPr>
        <w:t>s</w:t>
      </w:r>
      <w:r w:rsidR="00E655AB">
        <w:rPr>
          <w:rFonts w:cs="Arial"/>
          <w:sz w:val="24"/>
        </w:rPr>
        <w:t xml:space="preserve"> souhaite</w:t>
      </w:r>
      <w:r>
        <w:rPr>
          <w:rFonts w:cs="Arial"/>
          <w:sz w:val="24"/>
        </w:rPr>
        <w:t>nt</w:t>
      </w:r>
      <w:r w:rsidR="00E655AB">
        <w:rPr>
          <w:rFonts w:cs="Arial"/>
          <w:sz w:val="24"/>
        </w:rPr>
        <w:t xml:space="preserve"> remercier </w:t>
      </w:r>
      <w:r w:rsidR="00D6024C">
        <w:rPr>
          <w:rFonts w:cs="Arial"/>
          <w:sz w:val="24"/>
        </w:rPr>
        <w:t>Mr Maki pour son service exemplaire, autant dans la ponctualité que la qualité, et qui nous a conduit durant toute la mission</w:t>
      </w:r>
      <w:r w:rsidR="00E655AB">
        <w:rPr>
          <w:rFonts w:cs="Arial"/>
          <w:sz w:val="24"/>
        </w:rPr>
        <w:t>.</w:t>
      </w:r>
    </w:p>
    <w:p w14:paraId="483854A8" w14:textId="77777777" w:rsidR="005D5C50" w:rsidRPr="007920A9" w:rsidRDefault="005D5C50">
      <w:pPr>
        <w:rPr>
          <w:rFonts w:ascii="Arial" w:hAnsi="Arial" w:cs="Arial"/>
          <w:color w:val="404040"/>
        </w:rPr>
      </w:pPr>
      <w:r w:rsidRPr="007920A9">
        <w:rPr>
          <w:rFonts w:ascii="Arial" w:hAnsi="Arial" w:cs="Arial"/>
          <w:color w:val="404040"/>
        </w:rPr>
        <w:br w:type="page"/>
      </w:r>
    </w:p>
    <w:p w14:paraId="34148567" w14:textId="77777777" w:rsidR="00407963" w:rsidRPr="007920A9" w:rsidRDefault="00407963" w:rsidP="00026C12">
      <w:pPr>
        <w:pStyle w:val="Titre1"/>
        <w:jc w:val="both"/>
      </w:pPr>
      <w:bookmarkStart w:id="7" w:name="_Toc459307832"/>
      <w:bookmarkStart w:id="8" w:name="_Toc496544773"/>
      <w:r w:rsidRPr="007920A9">
        <w:lastRenderedPageBreak/>
        <w:t>Glossaire</w:t>
      </w:r>
      <w:bookmarkEnd w:id="7"/>
      <w:bookmarkEnd w:id="8"/>
    </w:p>
    <w:p w14:paraId="4E600EB0" w14:textId="6B404F18" w:rsidR="003A2C9E" w:rsidRDefault="003A2C9E" w:rsidP="00F20A16">
      <w:pPr>
        <w:spacing w:line="240" w:lineRule="auto"/>
        <w:ind w:left="2832" w:hanging="2832"/>
        <w:rPr>
          <w:b/>
          <w:sz w:val="24"/>
        </w:rPr>
      </w:pPr>
      <w:r>
        <w:rPr>
          <w:b/>
          <w:sz w:val="24"/>
        </w:rPr>
        <w:t>AN</w:t>
      </w:r>
      <w:r>
        <w:rPr>
          <w:b/>
          <w:sz w:val="24"/>
        </w:rPr>
        <w:tab/>
      </w:r>
      <w:r w:rsidRPr="003A2C9E">
        <w:rPr>
          <w:sz w:val="24"/>
        </w:rPr>
        <w:t>Archives Nationale</w:t>
      </w:r>
      <w:r>
        <w:rPr>
          <w:sz w:val="24"/>
        </w:rPr>
        <w:t>s</w:t>
      </w:r>
    </w:p>
    <w:p w14:paraId="70CED30A" w14:textId="5468AA74" w:rsidR="00DE11B9" w:rsidRDefault="00DE11B9" w:rsidP="00F20A16">
      <w:pPr>
        <w:spacing w:line="240" w:lineRule="auto"/>
        <w:ind w:left="2832" w:hanging="2832"/>
        <w:rPr>
          <w:b/>
          <w:sz w:val="24"/>
        </w:rPr>
      </w:pPr>
      <w:r>
        <w:rPr>
          <w:b/>
          <w:sz w:val="24"/>
        </w:rPr>
        <w:t>ANSI</w:t>
      </w:r>
      <w:r>
        <w:rPr>
          <w:b/>
          <w:sz w:val="24"/>
        </w:rPr>
        <w:tab/>
      </w:r>
      <w:r>
        <w:t>Agence Nationale de la Sécurité Informatique</w:t>
      </w:r>
    </w:p>
    <w:p w14:paraId="00E8B1D4" w14:textId="1D273E96" w:rsidR="002B2045" w:rsidRDefault="002B2045" w:rsidP="00F20A16">
      <w:pPr>
        <w:spacing w:line="240" w:lineRule="auto"/>
        <w:ind w:left="2832" w:hanging="2832"/>
        <w:rPr>
          <w:sz w:val="24"/>
          <w:szCs w:val="24"/>
        </w:rPr>
      </w:pPr>
      <w:r>
        <w:rPr>
          <w:b/>
          <w:sz w:val="24"/>
        </w:rPr>
        <w:t>ARP</w:t>
      </w:r>
      <w:r>
        <w:rPr>
          <w:b/>
          <w:sz w:val="24"/>
        </w:rPr>
        <w:tab/>
      </w:r>
      <w:r>
        <w:rPr>
          <w:sz w:val="24"/>
          <w:szCs w:val="24"/>
        </w:rPr>
        <w:t>Assemblée des Représentants du Peuple</w:t>
      </w:r>
    </w:p>
    <w:p w14:paraId="0598C581" w14:textId="7A201B89" w:rsidR="003A2C9E" w:rsidRDefault="003A2C9E" w:rsidP="00F20A16">
      <w:pPr>
        <w:spacing w:line="240" w:lineRule="auto"/>
        <w:ind w:left="2832" w:hanging="2832"/>
        <w:rPr>
          <w:sz w:val="24"/>
        </w:rPr>
      </w:pPr>
      <w:r>
        <w:rPr>
          <w:b/>
          <w:sz w:val="24"/>
        </w:rPr>
        <w:t>ATI</w:t>
      </w:r>
      <w:r>
        <w:rPr>
          <w:b/>
          <w:sz w:val="24"/>
        </w:rPr>
        <w:tab/>
      </w:r>
      <w:r w:rsidRPr="003A2C9E">
        <w:rPr>
          <w:sz w:val="24"/>
        </w:rPr>
        <w:t>Attounissiya Internet (ex Agence Tunisienne d'Internet)</w:t>
      </w:r>
    </w:p>
    <w:p w14:paraId="3CCD61FD" w14:textId="4C701475" w:rsidR="003A2C9E" w:rsidRDefault="003A2C9E" w:rsidP="00F20A16">
      <w:pPr>
        <w:spacing w:line="240" w:lineRule="auto"/>
        <w:ind w:left="2832" w:hanging="2832"/>
        <w:rPr>
          <w:sz w:val="24"/>
        </w:rPr>
      </w:pPr>
      <w:r>
        <w:rPr>
          <w:b/>
          <w:sz w:val="24"/>
        </w:rPr>
        <w:t>BDD</w:t>
      </w:r>
      <w:r>
        <w:rPr>
          <w:b/>
          <w:sz w:val="24"/>
        </w:rPr>
        <w:tab/>
      </w:r>
      <w:r w:rsidRPr="003A2C9E">
        <w:rPr>
          <w:sz w:val="24"/>
        </w:rPr>
        <w:t>Base de données</w:t>
      </w:r>
    </w:p>
    <w:p w14:paraId="02CDA765" w14:textId="79E52CCF" w:rsidR="00E7117A" w:rsidRPr="003A2C9E" w:rsidRDefault="00E7117A" w:rsidP="00F20A16">
      <w:pPr>
        <w:spacing w:line="240" w:lineRule="auto"/>
        <w:ind w:left="2832" w:hanging="2832"/>
        <w:rPr>
          <w:sz w:val="24"/>
          <w:szCs w:val="24"/>
        </w:rPr>
      </w:pPr>
      <w:r>
        <w:rPr>
          <w:b/>
          <w:sz w:val="24"/>
        </w:rPr>
        <w:t>BM</w:t>
      </w:r>
      <w:r>
        <w:rPr>
          <w:b/>
          <w:sz w:val="24"/>
        </w:rPr>
        <w:tab/>
      </w:r>
      <w:r w:rsidRPr="00E7117A">
        <w:rPr>
          <w:sz w:val="24"/>
        </w:rPr>
        <w:t>Banque Mondiale</w:t>
      </w:r>
    </w:p>
    <w:p w14:paraId="543BBFC9" w14:textId="28ABABBA" w:rsidR="00DE11B9" w:rsidRDefault="00DE11B9" w:rsidP="00F20A16">
      <w:pPr>
        <w:spacing w:line="240" w:lineRule="auto"/>
        <w:ind w:left="2832" w:hanging="2832"/>
        <w:rPr>
          <w:sz w:val="24"/>
        </w:rPr>
      </w:pPr>
      <w:r>
        <w:rPr>
          <w:b/>
          <w:sz w:val="24"/>
        </w:rPr>
        <w:t>CAI</w:t>
      </w:r>
      <w:r>
        <w:rPr>
          <w:b/>
          <w:sz w:val="24"/>
        </w:rPr>
        <w:tab/>
      </w:r>
      <w:r w:rsidRPr="00DE11B9">
        <w:rPr>
          <w:sz w:val="24"/>
        </w:rPr>
        <w:t>Chargé d’accès à l’Information</w:t>
      </w:r>
    </w:p>
    <w:p w14:paraId="5CE7BFDE" w14:textId="7A2E0442" w:rsidR="00E7117A" w:rsidRDefault="00E7117A" w:rsidP="00F20A16">
      <w:pPr>
        <w:spacing w:line="240" w:lineRule="auto"/>
        <w:ind w:left="2832" w:hanging="2832"/>
        <w:rPr>
          <w:rFonts w:ascii="Calibri" w:hAnsi="Calibri" w:cs="Calibri"/>
          <w:sz w:val="24"/>
        </w:rPr>
      </w:pPr>
      <w:r>
        <w:rPr>
          <w:b/>
          <w:sz w:val="24"/>
        </w:rPr>
        <w:t>CFAD</w:t>
      </w:r>
      <w:r>
        <w:rPr>
          <w:b/>
          <w:sz w:val="24"/>
        </w:rPr>
        <w:tab/>
      </w:r>
      <w:r w:rsidRPr="00E7117A">
        <w:rPr>
          <w:rFonts w:ascii="Calibri" w:hAnsi="Calibri" w:cs="Calibri"/>
          <w:sz w:val="24"/>
        </w:rPr>
        <w:t>Centre de Formation et d'Appui à la Décentralisation</w:t>
      </w:r>
    </w:p>
    <w:p w14:paraId="5266533C" w14:textId="3BB40B56" w:rsidR="00E7117A" w:rsidRDefault="00E7117A" w:rsidP="00F20A16">
      <w:pPr>
        <w:spacing w:line="240" w:lineRule="auto"/>
        <w:ind w:left="2832" w:hanging="2832"/>
        <w:rPr>
          <w:sz w:val="24"/>
        </w:rPr>
      </w:pPr>
      <w:r>
        <w:rPr>
          <w:b/>
          <w:sz w:val="24"/>
        </w:rPr>
        <w:t>CIFODE’COM</w:t>
      </w:r>
      <w:r>
        <w:rPr>
          <w:b/>
          <w:sz w:val="24"/>
        </w:rPr>
        <w:tab/>
      </w:r>
      <w:r w:rsidRPr="00E7117A">
        <w:rPr>
          <w:sz w:val="24"/>
        </w:rPr>
        <w:t>Centre d'Information, de Formation, de Documentation et d'Etudes en Technologies des communications</w:t>
      </w:r>
    </w:p>
    <w:p w14:paraId="3A3E6107" w14:textId="43BA92F1" w:rsidR="00E7117A" w:rsidRDefault="00E7117A" w:rsidP="00F20A16">
      <w:pPr>
        <w:spacing w:line="240" w:lineRule="auto"/>
        <w:ind w:left="2832" w:hanging="2832"/>
        <w:rPr>
          <w:sz w:val="24"/>
        </w:rPr>
      </w:pPr>
      <w:r>
        <w:rPr>
          <w:b/>
          <w:sz w:val="24"/>
        </w:rPr>
        <w:t>CJD</w:t>
      </w:r>
      <w:r>
        <w:rPr>
          <w:b/>
          <w:sz w:val="24"/>
        </w:rPr>
        <w:tab/>
      </w:r>
      <w:r>
        <w:rPr>
          <w:rFonts w:ascii="Calibri" w:hAnsi="Calibri" w:cs="Calibri"/>
          <w:sz w:val="24"/>
        </w:rPr>
        <w:t>C</w:t>
      </w:r>
      <w:r w:rsidRPr="00E7117A">
        <w:rPr>
          <w:rFonts w:ascii="Calibri" w:hAnsi="Calibri" w:cs="Calibri"/>
          <w:sz w:val="24"/>
        </w:rPr>
        <w:t xml:space="preserve">entre </w:t>
      </w:r>
      <w:r>
        <w:rPr>
          <w:rFonts w:ascii="Calibri" w:hAnsi="Calibri" w:cs="Calibri"/>
          <w:sz w:val="24"/>
        </w:rPr>
        <w:t>des Jeunes D</w:t>
      </w:r>
      <w:r w:rsidRPr="00E7117A">
        <w:rPr>
          <w:rFonts w:ascii="Calibri" w:hAnsi="Calibri" w:cs="Calibri"/>
          <w:sz w:val="24"/>
        </w:rPr>
        <w:t>irigeants d'entreprises</w:t>
      </w:r>
    </w:p>
    <w:p w14:paraId="4FD30B38" w14:textId="344A0A96" w:rsidR="00271D4E" w:rsidRDefault="00271D4E" w:rsidP="00F20A16">
      <w:pPr>
        <w:spacing w:line="240" w:lineRule="auto"/>
        <w:ind w:left="2832" w:hanging="2832"/>
        <w:rPr>
          <w:b/>
          <w:sz w:val="24"/>
        </w:rPr>
      </w:pPr>
      <w:r>
        <w:rPr>
          <w:b/>
          <w:sz w:val="24"/>
        </w:rPr>
        <w:t>CNI</w:t>
      </w:r>
      <w:r>
        <w:rPr>
          <w:b/>
          <w:sz w:val="24"/>
        </w:rPr>
        <w:tab/>
      </w:r>
      <w:r w:rsidRPr="00271D4E">
        <w:rPr>
          <w:sz w:val="24"/>
        </w:rPr>
        <w:t>Centre National Informatique</w:t>
      </w:r>
    </w:p>
    <w:p w14:paraId="07A14A2C" w14:textId="66906AE0" w:rsidR="00A40A7D" w:rsidRDefault="00A40A7D" w:rsidP="00F20A16">
      <w:pPr>
        <w:spacing w:line="240" w:lineRule="auto"/>
        <w:ind w:left="2832" w:hanging="2832"/>
        <w:rPr>
          <w:sz w:val="24"/>
        </w:rPr>
      </w:pPr>
      <w:r w:rsidRPr="00F20A16">
        <w:rPr>
          <w:b/>
          <w:sz w:val="24"/>
        </w:rPr>
        <w:t>DGRP</w:t>
      </w:r>
      <w:r w:rsidR="00280EE0">
        <w:rPr>
          <w:b/>
          <w:sz w:val="24"/>
        </w:rPr>
        <w:t>A</w:t>
      </w:r>
      <w:r w:rsidRPr="00F20A16">
        <w:rPr>
          <w:sz w:val="24"/>
        </w:rPr>
        <w:t xml:space="preserve"> </w:t>
      </w:r>
      <w:r w:rsidR="00F20A16">
        <w:rPr>
          <w:sz w:val="24"/>
        </w:rPr>
        <w:tab/>
      </w:r>
      <w:r w:rsidRPr="00F20A16">
        <w:rPr>
          <w:sz w:val="24"/>
        </w:rPr>
        <w:t>Direction Générale des Reformes et Prospectives Administratives</w:t>
      </w:r>
    </w:p>
    <w:p w14:paraId="4D6105CA" w14:textId="16FAC3B3" w:rsidR="003A2C9E" w:rsidRPr="003A2C9E" w:rsidRDefault="003A2C9E" w:rsidP="00F20A16">
      <w:pPr>
        <w:spacing w:line="240" w:lineRule="auto"/>
        <w:ind w:left="2832" w:hanging="2832"/>
        <w:rPr>
          <w:sz w:val="24"/>
        </w:rPr>
      </w:pPr>
      <w:r>
        <w:rPr>
          <w:b/>
          <w:sz w:val="24"/>
        </w:rPr>
        <w:t>ENA</w:t>
      </w:r>
      <w:r>
        <w:rPr>
          <w:b/>
          <w:sz w:val="24"/>
        </w:rPr>
        <w:tab/>
      </w:r>
      <w:r>
        <w:rPr>
          <w:sz w:val="24"/>
        </w:rPr>
        <w:t>Ecole Nationale d</w:t>
      </w:r>
      <w:r w:rsidRPr="003A2C9E">
        <w:rPr>
          <w:sz w:val="24"/>
        </w:rPr>
        <w:t>’Administration</w:t>
      </w:r>
    </w:p>
    <w:p w14:paraId="09741749" w14:textId="439FDA8F" w:rsidR="003A2C9E" w:rsidRDefault="003A2C9E" w:rsidP="00F20A16">
      <w:pPr>
        <w:spacing w:line="240" w:lineRule="auto"/>
        <w:ind w:left="2832" w:hanging="2832"/>
        <w:rPr>
          <w:sz w:val="24"/>
        </w:rPr>
      </w:pPr>
      <w:r w:rsidRPr="003A2C9E">
        <w:rPr>
          <w:b/>
          <w:sz w:val="24"/>
        </w:rPr>
        <w:t>GBO</w:t>
      </w:r>
      <w:r w:rsidRPr="003A2C9E">
        <w:rPr>
          <w:sz w:val="24"/>
        </w:rPr>
        <w:t xml:space="preserve"> </w:t>
      </w:r>
      <w:r>
        <w:rPr>
          <w:sz w:val="24"/>
        </w:rPr>
        <w:t xml:space="preserve">  </w:t>
      </w:r>
      <w:r>
        <w:rPr>
          <w:sz w:val="24"/>
        </w:rPr>
        <w:tab/>
        <w:t>Gestion du Budget par Ob</w:t>
      </w:r>
      <w:r w:rsidRPr="003A2C9E">
        <w:rPr>
          <w:sz w:val="24"/>
        </w:rPr>
        <w:t>jectif</w:t>
      </w:r>
    </w:p>
    <w:p w14:paraId="62CB593E" w14:textId="16FD1AF2" w:rsidR="003A2C9E" w:rsidRDefault="003A2C9E" w:rsidP="00E7117A">
      <w:pPr>
        <w:spacing w:after="240" w:line="240" w:lineRule="auto"/>
        <w:textAlignment w:val="center"/>
        <w:rPr>
          <w:rFonts w:ascii="Calibri" w:eastAsia="Times New Roman" w:hAnsi="Calibri" w:cs="Calibri"/>
          <w:sz w:val="24"/>
          <w:lang w:eastAsia="fr-FR"/>
        </w:rPr>
      </w:pPr>
      <w:r w:rsidRPr="003A2C9E">
        <w:rPr>
          <w:rFonts w:ascii="Calibri" w:eastAsia="Times New Roman" w:hAnsi="Calibri" w:cs="Calibri"/>
          <w:b/>
          <w:sz w:val="24"/>
          <w:lang w:eastAsia="fr-FR"/>
        </w:rPr>
        <w:t>HAICOP</w:t>
      </w:r>
      <w:r w:rsidRPr="003A2C9E">
        <w:rPr>
          <w:rFonts w:ascii="Calibri" w:eastAsia="Times New Roman" w:hAnsi="Calibri" w:cs="Calibri"/>
          <w:sz w:val="24"/>
          <w:lang w:eastAsia="fr-FR"/>
        </w:rPr>
        <w:t xml:space="preserve"> </w:t>
      </w:r>
      <w:r>
        <w:rPr>
          <w:rFonts w:ascii="Calibri" w:eastAsia="Times New Roman" w:hAnsi="Calibri" w:cs="Calibri"/>
          <w:sz w:val="24"/>
          <w:lang w:eastAsia="fr-FR"/>
        </w:rPr>
        <w:tab/>
      </w:r>
      <w:r>
        <w:rPr>
          <w:rFonts w:ascii="Calibri" w:eastAsia="Times New Roman" w:hAnsi="Calibri" w:cs="Calibri"/>
          <w:sz w:val="24"/>
          <w:lang w:eastAsia="fr-FR"/>
        </w:rPr>
        <w:tab/>
      </w:r>
      <w:r>
        <w:rPr>
          <w:rFonts w:ascii="Calibri" w:eastAsia="Times New Roman" w:hAnsi="Calibri" w:cs="Calibri"/>
          <w:sz w:val="24"/>
          <w:lang w:eastAsia="fr-FR"/>
        </w:rPr>
        <w:tab/>
        <w:t>HAute Instance de la COmmande P</w:t>
      </w:r>
      <w:r w:rsidR="00E7117A">
        <w:rPr>
          <w:rFonts w:ascii="Calibri" w:eastAsia="Times New Roman" w:hAnsi="Calibri" w:cs="Calibri"/>
          <w:sz w:val="24"/>
          <w:lang w:eastAsia="fr-FR"/>
        </w:rPr>
        <w:t>ublique</w:t>
      </w:r>
    </w:p>
    <w:p w14:paraId="06FF62A6" w14:textId="6AAA0A1E" w:rsidR="00E7117A" w:rsidRPr="00E7117A" w:rsidRDefault="00E7117A" w:rsidP="00E7117A">
      <w:pPr>
        <w:spacing w:after="240" w:line="240" w:lineRule="auto"/>
        <w:textAlignment w:val="center"/>
        <w:rPr>
          <w:rFonts w:ascii="Calibri" w:eastAsia="Times New Roman" w:hAnsi="Calibri" w:cs="Calibri"/>
          <w:sz w:val="24"/>
          <w:lang w:eastAsia="fr-FR"/>
        </w:rPr>
      </w:pPr>
      <w:r w:rsidRPr="00E7117A">
        <w:rPr>
          <w:rFonts w:ascii="Calibri" w:eastAsia="Times New Roman" w:hAnsi="Calibri" w:cs="Calibri"/>
          <w:b/>
          <w:sz w:val="24"/>
          <w:lang w:eastAsia="fr-FR"/>
        </w:rPr>
        <w:t>IDN</w:t>
      </w:r>
      <w:r>
        <w:rPr>
          <w:rFonts w:ascii="Calibri" w:eastAsia="Times New Roman" w:hAnsi="Calibri" w:cs="Calibri"/>
          <w:sz w:val="24"/>
          <w:lang w:eastAsia="fr-FR"/>
        </w:rPr>
        <w:tab/>
      </w:r>
      <w:r>
        <w:rPr>
          <w:rFonts w:ascii="Calibri" w:eastAsia="Times New Roman" w:hAnsi="Calibri" w:cs="Calibri"/>
          <w:sz w:val="24"/>
          <w:lang w:eastAsia="fr-FR"/>
        </w:rPr>
        <w:tab/>
      </w:r>
      <w:r>
        <w:rPr>
          <w:rFonts w:ascii="Calibri" w:eastAsia="Times New Roman" w:hAnsi="Calibri" w:cs="Calibri"/>
          <w:sz w:val="24"/>
          <w:lang w:eastAsia="fr-FR"/>
        </w:rPr>
        <w:tab/>
      </w:r>
      <w:r>
        <w:rPr>
          <w:rFonts w:ascii="Calibri" w:eastAsia="Times New Roman" w:hAnsi="Calibri" w:cs="Calibri"/>
          <w:sz w:val="24"/>
          <w:lang w:eastAsia="fr-FR"/>
        </w:rPr>
        <w:tab/>
        <w:t>Institut de Défense Nationale</w:t>
      </w:r>
    </w:p>
    <w:p w14:paraId="64BF2197" w14:textId="240416C9" w:rsidR="009B65CC" w:rsidRPr="007920A9" w:rsidRDefault="009B65CC" w:rsidP="00F20A16">
      <w:pPr>
        <w:spacing w:line="240" w:lineRule="auto"/>
        <w:jc w:val="both"/>
        <w:rPr>
          <w:sz w:val="24"/>
          <w:szCs w:val="24"/>
        </w:rPr>
      </w:pPr>
      <w:r w:rsidRPr="00F20A16">
        <w:rPr>
          <w:b/>
          <w:sz w:val="24"/>
          <w:szCs w:val="24"/>
        </w:rPr>
        <w:t>INPDP</w:t>
      </w:r>
      <w:r w:rsidRPr="007920A9">
        <w:rPr>
          <w:sz w:val="24"/>
          <w:szCs w:val="24"/>
        </w:rPr>
        <w:t xml:space="preserve"> </w:t>
      </w:r>
      <w:r w:rsidR="00F20A16">
        <w:rPr>
          <w:sz w:val="24"/>
          <w:szCs w:val="24"/>
        </w:rPr>
        <w:tab/>
      </w:r>
      <w:r w:rsidR="00F20A16">
        <w:rPr>
          <w:sz w:val="24"/>
          <w:szCs w:val="24"/>
        </w:rPr>
        <w:tab/>
      </w:r>
      <w:r w:rsidR="00F20A16">
        <w:rPr>
          <w:sz w:val="24"/>
          <w:szCs w:val="24"/>
        </w:rPr>
        <w:tab/>
      </w:r>
      <w:r w:rsidR="00F20A16">
        <w:rPr>
          <w:sz w:val="24"/>
          <w:szCs w:val="24"/>
        </w:rPr>
        <w:tab/>
      </w:r>
      <w:r w:rsidRPr="007920A9">
        <w:rPr>
          <w:sz w:val="24"/>
          <w:szCs w:val="24"/>
        </w:rPr>
        <w:t xml:space="preserve">L’Instance National de Protection des Données </w:t>
      </w:r>
      <w:r w:rsidR="00F20A16" w:rsidRPr="007920A9">
        <w:rPr>
          <w:sz w:val="24"/>
          <w:szCs w:val="24"/>
        </w:rPr>
        <w:t>Personnelles</w:t>
      </w:r>
      <w:r w:rsidRPr="007920A9">
        <w:rPr>
          <w:sz w:val="24"/>
          <w:szCs w:val="24"/>
        </w:rPr>
        <w:t xml:space="preserve"> </w:t>
      </w:r>
    </w:p>
    <w:p w14:paraId="0E938375" w14:textId="198AD48D" w:rsidR="009B65CC" w:rsidRDefault="00055D5E" w:rsidP="00F20A16">
      <w:pPr>
        <w:spacing w:line="240" w:lineRule="auto"/>
        <w:rPr>
          <w:sz w:val="24"/>
        </w:rPr>
      </w:pPr>
      <w:r w:rsidRPr="00F20A16">
        <w:rPr>
          <w:b/>
          <w:sz w:val="24"/>
        </w:rPr>
        <w:t>INS</w:t>
      </w:r>
      <w:r w:rsidRPr="00F20A16">
        <w:rPr>
          <w:sz w:val="24"/>
        </w:rPr>
        <w:t xml:space="preserve"> </w:t>
      </w:r>
      <w:r w:rsidR="00F20A16" w:rsidRPr="00F20A16">
        <w:rPr>
          <w:sz w:val="24"/>
        </w:rPr>
        <w:tab/>
      </w:r>
      <w:r w:rsidR="00F20A16" w:rsidRPr="00F20A16">
        <w:rPr>
          <w:sz w:val="24"/>
        </w:rPr>
        <w:tab/>
      </w:r>
      <w:r w:rsidR="00F20A16" w:rsidRPr="00F20A16">
        <w:rPr>
          <w:sz w:val="24"/>
        </w:rPr>
        <w:tab/>
      </w:r>
      <w:r w:rsidR="00F20A16" w:rsidRPr="00F20A16">
        <w:rPr>
          <w:sz w:val="24"/>
        </w:rPr>
        <w:tab/>
      </w:r>
      <w:r w:rsidRPr="00F20A16">
        <w:rPr>
          <w:sz w:val="24"/>
        </w:rPr>
        <w:t>Institut National de la Statistique</w:t>
      </w:r>
    </w:p>
    <w:p w14:paraId="7E08E4D5" w14:textId="11AA6A25" w:rsidR="00E7117A" w:rsidRPr="00E7117A" w:rsidRDefault="00E7117A" w:rsidP="00F20A16">
      <w:pPr>
        <w:spacing w:line="240" w:lineRule="auto"/>
        <w:rPr>
          <w:sz w:val="24"/>
          <w:szCs w:val="24"/>
        </w:rPr>
      </w:pPr>
      <w:r w:rsidRPr="00E7117A">
        <w:rPr>
          <w:b/>
          <w:sz w:val="24"/>
          <w:szCs w:val="24"/>
        </w:rPr>
        <w:t>INSAT</w:t>
      </w:r>
      <w:r w:rsidRPr="00E7117A">
        <w:rPr>
          <w:sz w:val="24"/>
          <w:szCs w:val="24"/>
        </w:rPr>
        <w:tab/>
      </w:r>
      <w:r w:rsidRPr="00E7117A">
        <w:rPr>
          <w:sz w:val="24"/>
          <w:szCs w:val="24"/>
        </w:rPr>
        <w:tab/>
      </w:r>
      <w:r w:rsidRPr="00E7117A">
        <w:rPr>
          <w:sz w:val="24"/>
          <w:szCs w:val="24"/>
        </w:rPr>
        <w:tab/>
      </w:r>
      <w:r w:rsidRPr="00E7117A">
        <w:rPr>
          <w:sz w:val="24"/>
          <w:szCs w:val="24"/>
        </w:rPr>
        <w:tab/>
      </w:r>
      <w:r w:rsidRPr="00E7117A">
        <w:rPr>
          <w:rFonts w:ascii="Calibri" w:hAnsi="Calibri" w:cs="Calibri"/>
          <w:sz w:val="24"/>
          <w:szCs w:val="24"/>
        </w:rPr>
        <w:t>Institut National des Sciences Appliquées et de Technologie</w:t>
      </w:r>
    </w:p>
    <w:p w14:paraId="77B7A3E7" w14:textId="331A8513" w:rsidR="00021146" w:rsidRPr="007920A9" w:rsidRDefault="00F20A16" w:rsidP="00F20A16">
      <w:pPr>
        <w:spacing w:line="240" w:lineRule="auto"/>
      </w:pPr>
      <w:r w:rsidRPr="00F20A16">
        <w:rPr>
          <w:b/>
          <w:bCs/>
          <w:iCs/>
          <w:sz w:val="24"/>
          <w:szCs w:val="24"/>
        </w:rPr>
        <w:t>INT</w:t>
      </w:r>
      <w:r>
        <w:rPr>
          <w:bCs/>
          <w:iCs/>
          <w:sz w:val="24"/>
          <w:szCs w:val="24"/>
        </w:rPr>
        <w:tab/>
      </w:r>
      <w:r>
        <w:rPr>
          <w:bCs/>
          <w:iCs/>
          <w:sz w:val="24"/>
          <w:szCs w:val="24"/>
        </w:rPr>
        <w:tab/>
      </w:r>
      <w:r>
        <w:rPr>
          <w:bCs/>
          <w:iCs/>
          <w:sz w:val="24"/>
          <w:szCs w:val="24"/>
        </w:rPr>
        <w:tab/>
      </w:r>
      <w:r>
        <w:rPr>
          <w:bCs/>
          <w:iCs/>
          <w:sz w:val="24"/>
          <w:szCs w:val="24"/>
        </w:rPr>
        <w:tab/>
      </w:r>
      <w:r w:rsidR="00021146">
        <w:rPr>
          <w:bCs/>
          <w:iCs/>
          <w:sz w:val="24"/>
          <w:szCs w:val="24"/>
        </w:rPr>
        <w:t>Instance Nationale des Télécommunications (INT)</w:t>
      </w:r>
    </w:p>
    <w:p w14:paraId="6D09BA9A" w14:textId="12CAD4EB" w:rsidR="00F3414F" w:rsidRDefault="00F3414F" w:rsidP="00F20A16">
      <w:pPr>
        <w:spacing w:line="240" w:lineRule="auto"/>
        <w:ind w:left="2832" w:hanging="2832"/>
        <w:rPr>
          <w:sz w:val="24"/>
          <w:szCs w:val="24"/>
        </w:rPr>
      </w:pPr>
      <w:r w:rsidRPr="0024574A">
        <w:rPr>
          <w:b/>
          <w:sz w:val="24"/>
        </w:rPr>
        <w:t>ITIE/EITI</w:t>
      </w:r>
      <w:r w:rsidR="0024574A">
        <w:rPr>
          <w:b/>
          <w:sz w:val="24"/>
        </w:rPr>
        <w:tab/>
      </w:r>
      <w:r w:rsidR="00F20A16" w:rsidRPr="005D5C50">
        <w:rPr>
          <w:sz w:val="24"/>
          <w:szCs w:val="24"/>
        </w:rPr>
        <w:t>Initiative de Transparence des Industries Extractives</w:t>
      </w:r>
      <w:r w:rsidR="00F20A16">
        <w:rPr>
          <w:sz w:val="24"/>
          <w:szCs w:val="24"/>
        </w:rPr>
        <w:t>/Extractive Industry Transparency Initiative</w:t>
      </w:r>
    </w:p>
    <w:p w14:paraId="0A56EE1A" w14:textId="37787524" w:rsidR="00521C16" w:rsidRDefault="00521C16" w:rsidP="00F20A16">
      <w:pPr>
        <w:spacing w:line="240" w:lineRule="auto"/>
        <w:ind w:left="2832" w:hanging="2832"/>
        <w:rPr>
          <w:bCs/>
        </w:rPr>
      </w:pPr>
      <w:r>
        <w:rPr>
          <w:b/>
          <w:sz w:val="24"/>
        </w:rPr>
        <w:t>MALE</w:t>
      </w:r>
      <w:r>
        <w:rPr>
          <w:b/>
          <w:sz w:val="24"/>
        </w:rPr>
        <w:tab/>
      </w:r>
      <w:r>
        <w:rPr>
          <w:bCs/>
        </w:rPr>
        <w:t xml:space="preserve">Ministère des Affaires Locales et de l’Environnement </w:t>
      </w:r>
    </w:p>
    <w:p w14:paraId="2332CAA2" w14:textId="20F1CE5C" w:rsidR="003A2C9E" w:rsidRDefault="003A2C9E" w:rsidP="00F20A16">
      <w:pPr>
        <w:spacing w:line="240" w:lineRule="auto"/>
        <w:ind w:left="2832" w:hanging="2832"/>
        <w:rPr>
          <w:bCs/>
        </w:rPr>
      </w:pPr>
      <w:r>
        <w:rPr>
          <w:b/>
          <w:sz w:val="24"/>
        </w:rPr>
        <w:lastRenderedPageBreak/>
        <w:t>MDCI</w:t>
      </w:r>
      <w:r>
        <w:rPr>
          <w:b/>
          <w:sz w:val="24"/>
        </w:rPr>
        <w:tab/>
      </w:r>
      <w:r w:rsidRPr="003A2C9E">
        <w:rPr>
          <w:sz w:val="24"/>
        </w:rPr>
        <w:t>Ministère du Développement et de la coopération internationale</w:t>
      </w:r>
    </w:p>
    <w:p w14:paraId="6D38A2D5" w14:textId="27F36351" w:rsidR="003A2C9E" w:rsidRDefault="003A2C9E" w:rsidP="00F20A16">
      <w:pPr>
        <w:spacing w:line="240" w:lineRule="auto"/>
        <w:ind w:left="2832" w:hanging="2832"/>
        <w:rPr>
          <w:bCs/>
        </w:rPr>
      </w:pPr>
      <w:r>
        <w:rPr>
          <w:b/>
          <w:sz w:val="24"/>
        </w:rPr>
        <w:t>MEMER</w:t>
      </w:r>
      <w:r>
        <w:rPr>
          <w:b/>
          <w:sz w:val="24"/>
        </w:rPr>
        <w:tab/>
      </w:r>
      <w:r w:rsidRPr="003A2C9E">
        <w:rPr>
          <w:sz w:val="24"/>
        </w:rPr>
        <w:t>Ministères de l’Energie, des Mines et des Energies Renouvelables</w:t>
      </w:r>
    </w:p>
    <w:p w14:paraId="209D2406" w14:textId="3DCAD732" w:rsidR="003A2C9E" w:rsidRPr="003A2C9E" w:rsidRDefault="003A2C9E" w:rsidP="00F20A16">
      <w:pPr>
        <w:spacing w:line="240" w:lineRule="auto"/>
        <w:ind w:left="2832" w:hanging="2832"/>
        <w:rPr>
          <w:bCs/>
          <w:sz w:val="24"/>
        </w:rPr>
      </w:pPr>
      <w:r w:rsidRPr="003A2C9E">
        <w:rPr>
          <w:b/>
          <w:bCs/>
          <w:sz w:val="24"/>
        </w:rPr>
        <w:t>MIC</w:t>
      </w:r>
      <w:r w:rsidRPr="003A2C9E">
        <w:rPr>
          <w:bCs/>
          <w:sz w:val="24"/>
        </w:rPr>
        <w:t xml:space="preserve"> </w:t>
      </w:r>
      <w:r>
        <w:rPr>
          <w:bCs/>
          <w:sz w:val="24"/>
        </w:rPr>
        <w:tab/>
      </w:r>
      <w:r w:rsidRPr="003A2C9E">
        <w:rPr>
          <w:bCs/>
          <w:sz w:val="24"/>
        </w:rPr>
        <w:t>Ministère de</w:t>
      </w:r>
      <w:r w:rsidR="00DE74CB">
        <w:rPr>
          <w:bCs/>
          <w:sz w:val="24"/>
        </w:rPr>
        <w:t>s Affaires</w:t>
      </w:r>
      <w:r w:rsidRPr="003A2C9E">
        <w:rPr>
          <w:bCs/>
          <w:sz w:val="24"/>
        </w:rPr>
        <w:t xml:space="preserve">  Culture</w:t>
      </w:r>
      <w:r w:rsidR="00DE74CB">
        <w:rPr>
          <w:bCs/>
          <w:sz w:val="24"/>
        </w:rPr>
        <w:t>lles</w:t>
      </w:r>
    </w:p>
    <w:p w14:paraId="40FCCF3C" w14:textId="495D6FBF" w:rsidR="002679A3" w:rsidRDefault="002679A3" w:rsidP="00F20A16">
      <w:pPr>
        <w:spacing w:line="240" w:lineRule="auto"/>
        <w:ind w:left="2832" w:hanging="2832"/>
        <w:rPr>
          <w:sz w:val="24"/>
        </w:rPr>
      </w:pPr>
      <w:r>
        <w:rPr>
          <w:b/>
          <w:sz w:val="24"/>
        </w:rPr>
        <w:t>MIF</w:t>
      </w:r>
      <w:r>
        <w:rPr>
          <w:b/>
          <w:sz w:val="24"/>
        </w:rPr>
        <w:tab/>
      </w:r>
      <w:r w:rsidRPr="002679A3">
        <w:rPr>
          <w:sz w:val="24"/>
        </w:rPr>
        <w:t>Ministère de</w:t>
      </w:r>
      <w:r w:rsidR="00DE74CB">
        <w:rPr>
          <w:sz w:val="24"/>
        </w:rPr>
        <w:t>s</w:t>
      </w:r>
      <w:r w:rsidRPr="002679A3">
        <w:rPr>
          <w:sz w:val="24"/>
        </w:rPr>
        <w:t xml:space="preserve"> Finance</w:t>
      </w:r>
      <w:r w:rsidR="00DE74CB">
        <w:rPr>
          <w:sz w:val="24"/>
        </w:rPr>
        <w:t>s</w:t>
      </w:r>
    </w:p>
    <w:p w14:paraId="742B9B58" w14:textId="3F35F131" w:rsidR="003A2C9E" w:rsidRDefault="003A2C9E" w:rsidP="00F20A16">
      <w:pPr>
        <w:spacing w:line="240" w:lineRule="auto"/>
        <w:ind w:left="2832" w:hanging="2832"/>
        <w:rPr>
          <w:rFonts w:ascii="Calibri" w:hAnsi="Calibri" w:cs="Calibri"/>
          <w:sz w:val="24"/>
        </w:rPr>
      </w:pPr>
      <w:r w:rsidRPr="003A2C9E">
        <w:rPr>
          <w:rFonts w:ascii="Calibri" w:hAnsi="Calibri" w:cs="Calibri"/>
          <w:b/>
          <w:sz w:val="24"/>
        </w:rPr>
        <w:t>MINT</w:t>
      </w:r>
      <w:r w:rsidRPr="003A2C9E">
        <w:rPr>
          <w:rFonts w:ascii="Calibri" w:hAnsi="Calibri" w:cs="Calibri"/>
          <w:sz w:val="24"/>
        </w:rPr>
        <w:t xml:space="preserve"> </w:t>
      </w:r>
      <w:r w:rsidRPr="003A2C9E">
        <w:rPr>
          <w:rFonts w:ascii="Calibri" w:hAnsi="Calibri" w:cs="Calibri"/>
          <w:sz w:val="24"/>
        </w:rPr>
        <w:tab/>
        <w:t>Ministère de l’Intérieur</w:t>
      </w:r>
    </w:p>
    <w:p w14:paraId="1372CBAE" w14:textId="12D436D7" w:rsidR="003A2C9E" w:rsidRPr="003A2C9E" w:rsidRDefault="003A2C9E" w:rsidP="00F20A16">
      <w:pPr>
        <w:spacing w:line="240" w:lineRule="auto"/>
        <w:ind w:left="2832" w:hanging="2832"/>
        <w:rPr>
          <w:b/>
          <w:sz w:val="32"/>
        </w:rPr>
      </w:pPr>
      <w:r w:rsidRPr="003A2C9E">
        <w:rPr>
          <w:rFonts w:ascii="Calibri" w:hAnsi="Calibri" w:cs="Calibri"/>
          <w:b/>
          <w:sz w:val="24"/>
        </w:rPr>
        <w:t>MIP</w:t>
      </w:r>
      <w:r>
        <w:rPr>
          <w:rFonts w:ascii="Calibri" w:hAnsi="Calibri" w:cs="Calibri"/>
          <w:sz w:val="24"/>
        </w:rPr>
        <w:tab/>
      </w:r>
      <w:r w:rsidRPr="003A2C9E">
        <w:rPr>
          <w:rFonts w:ascii="Calibri" w:hAnsi="Calibri" w:cs="Calibri"/>
          <w:sz w:val="24"/>
        </w:rPr>
        <w:t>Ministère</w:t>
      </w:r>
      <w:r>
        <w:rPr>
          <w:rFonts w:ascii="Calibri" w:hAnsi="Calibri" w:cs="Calibri"/>
          <w:sz w:val="24"/>
        </w:rPr>
        <w:t xml:space="preserve"> de l’Industrie et des PME</w:t>
      </w:r>
      <w:r w:rsidR="007D35D3">
        <w:rPr>
          <w:rFonts w:ascii="Calibri" w:hAnsi="Calibri" w:cs="Calibri"/>
          <w:sz w:val="24"/>
        </w:rPr>
        <w:t>s</w:t>
      </w:r>
    </w:p>
    <w:p w14:paraId="0F811260" w14:textId="563FFBB7" w:rsidR="00521C16" w:rsidRPr="0024574A" w:rsidRDefault="00521C16" w:rsidP="00F20A16">
      <w:pPr>
        <w:spacing w:line="240" w:lineRule="auto"/>
        <w:ind w:left="2832" w:hanging="2832"/>
        <w:rPr>
          <w:b/>
          <w:sz w:val="24"/>
        </w:rPr>
      </w:pPr>
      <w:r>
        <w:rPr>
          <w:b/>
          <w:sz w:val="24"/>
        </w:rPr>
        <w:t>M</w:t>
      </w:r>
      <w:r w:rsidR="000853E1">
        <w:rPr>
          <w:b/>
          <w:sz w:val="24"/>
        </w:rPr>
        <w:t>I</w:t>
      </w:r>
      <w:r>
        <w:rPr>
          <w:b/>
          <w:sz w:val="24"/>
        </w:rPr>
        <w:t>T</w:t>
      </w:r>
      <w:r>
        <w:rPr>
          <w:b/>
          <w:sz w:val="24"/>
        </w:rPr>
        <w:tab/>
      </w:r>
      <w:r>
        <w:rPr>
          <w:bCs/>
        </w:rPr>
        <w:t xml:space="preserve">Ministère du Transport </w:t>
      </w:r>
    </w:p>
    <w:p w14:paraId="2AF6F4FD" w14:textId="7786621B" w:rsidR="003461A7" w:rsidRDefault="00A75C46" w:rsidP="00F20A16">
      <w:pPr>
        <w:spacing w:line="240" w:lineRule="auto"/>
        <w:ind w:left="2832" w:hanging="2832"/>
        <w:rPr>
          <w:bCs/>
          <w:sz w:val="24"/>
          <w:szCs w:val="24"/>
        </w:rPr>
      </w:pPr>
      <w:r w:rsidRPr="0024574A">
        <w:rPr>
          <w:b/>
          <w:sz w:val="24"/>
          <w:szCs w:val="24"/>
        </w:rPr>
        <w:t>MTC</w:t>
      </w:r>
      <w:r w:rsidR="003461A7" w:rsidRPr="0024574A">
        <w:rPr>
          <w:b/>
          <w:sz w:val="24"/>
          <w:szCs w:val="24"/>
        </w:rPr>
        <w:t>EN</w:t>
      </w:r>
      <w:r w:rsidR="003461A7" w:rsidRPr="0024574A">
        <w:rPr>
          <w:sz w:val="24"/>
          <w:szCs w:val="24"/>
        </w:rPr>
        <w:t xml:space="preserve"> </w:t>
      </w:r>
      <w:r w:rsidR="0024574A" w:rsidRPr="0024574A">
        <w:rPr>
          <w:bCs/>
          <w:sz w:val="24"/>
          <w:szCs w:val="24"/>
        </w:rPr>
        <w:tab/>
      </w:r>
      <w:r w:rsidRPr="0024574A">
        <w:rPr>
          <w:bCs/>
          <w:sz w:val="24"/>
          <w:szCs w:val="24"/>
        </w:rPr>
        <w:t>Ministère des Technologies de la Communication</w:t>
      </w:r>
      <w:r w:rsidR="003461A7" w:rsidRPr="0024574A">
        <w:rPr>
          <w:bCs/>
          <w:sz w:val="24"/>
          <w:szCs w:val="24"/>
        </w:rPr>
        <w:t xml:space="preserve"> et de l’Economie Numérique</w:t>
      </w:r>
    </w:p>
    <w:p w14:paraId="796E98F8" w14:textId="72512DD4" w:rsidR="003A2C9E" w:rsidRPr="0024574A" w:rsidRDefault="003A2C9E" w:rsidP="00F20A16">
      <w:pPr>
        <w:spacing w:line="240" w:lineRule="auto"/>
        <w:ind w:left="2832" w:hanging="2832"/>
        <w:rPr>
          <w:bCs/>
          <w:sz w:val="24"/>
          <w:szCs w:val="24"/>
        </w:rPr>
      </w:pPr>
      <w:r>
        <w:rPr>
          <w:b/>
          <w:sz w:val="24"/>
          <w:szCs w:val="24"/>
        </w:rPr>
        <w:t>OCDS</w:t>
      </w:r>
      <w:r>
        <w:rPr>
          <w:b/>
          <w:sz w:val="24"/>
          <w:szCs w:val="24"/>
        </w:rPr>
        <w:tab/>
      </w:r>
      <w:r w:rsidRPr="003A2C9E">
        <w:rPr>
          <w:rFonts w:ascii="Calibri" w:hAnsi="Calibri" w:cs="Calibri"/>
          <w:sz w:val="24"/>
        </w:rPr>
        <w:t>Format de données pour la passation ouverte de marchés publics (Open Contracting Data Standard)</w:t>
      </w:r>
    </w:p>
    <w:p w14:paraId="214F0179" w14:textId="77777777" w:rsidR="0024574A" w:rsidRPr="005D5C50" w:rsidRDefault="0024574A" w:rsidP="00F20A16">
      <w:pPr>
        <w:spacing w:after="0" w:line="240" w:lineRule="auto"/>
        <w:jc w:val="both"/>
        <w:rPr>
          <w:bCs/>
          <w:sz w:val="24"/>
          <w:szCs w:val="24"/>
        </w:rPr>
      </w:pPr>
      <w:r w:rsidRPr="005D5C50">
        <w:rPr>
          <w:b/>
          <w:sz w:val="24"/>
          <w:szCs w:val="24"/>
        </w:rPr>
        <w:t>ODD</w:t>
      </w:r>
      <w:r w:rsidRPr="005D5C50">
        <w:rPr>
          <w:sz w:val="24"/>
          <w:szCs w:val="24"/>
        </w:rPr>
        <w:tab/>
      </w:r>
      <w:r w:rsidRPr="005D5C50">
        <w:rPr>
          <w:sz w:val="24"/>
          <w:szCs w:val="24"/>
        </w:rPr>
        <w:tab/>
      </w:r>
      <w:r w:rsidRPr="005D5C50">
        <w:rPr>
          <w:sz w:val="24"/>
          <w:szCs w:val="24"/>
        </w:rPr>
        <w:tab/>
      </w:r>
      <w:r w:rsidRPr="005D5C50">
        <w:rPr>
          <w:sz w:val="24"/>
          <w:szCs w:val="24"/>
        </w:rPr>
        <w:tab/>
      </w:r>
      <w:r w:rsidRPr="005D5C50">
        <w:rPr>
          <w:bCs/>
          <w:sz w:val="24"/>
          <w:szCs w:val="24"/>
        </w:rPr>
        <w:t xml:space="preserve">Objectifs de Développement Durable </w:t>
      </w:r>
    </w:p>
    <w:p w14:paraId="6EF8446A" w14:textId="77777777" w:rsidR="0024574A" w:rsidRPr="005D5C50" w:rsidRDefault="0024574A" w:rsidP="00F20A16">
      <w:pPr>
        <w:spacing w:after="0" w:line="240" w:lineRule="auto"/>
        <w:ind w:left="2832" w:hanging="2832"/>
        <w:rPr>
          <w:sz w:val="24"/>
          <w:szCs w:val="24"/>
        </w:rPr>
      </w:pPr>
      <w:r w:rsidRPr="005D5C50">
        <w:rPr>
          <w:b/>
          <w:sz w:val="24"/>
          <w:szCs w:val="24"/>
        </w:rPr>
        <w:t>ODRA</w:t>
      </w:r>
      <w:r w:rsidRPr="005D5C50">
        <w:rPr>
          <w:sz w:val="24"/>
          <w:szCs w:val="24"/>
        </w:rPr>
        <w:tab/>
        <w:t>de l’anglais « Open Data Readiness Assessment » : Méthodologie permettant le diagnostic de l’état de Préparation d’un pays en vue d’une initiative d’ouverture des données publiques</w:t>
      </w:r>
    </w:p>
    <w:p w14:paraId="45657EF5" w14:textId="1D5C4EF5" w:rsidR="0024574A" w:rsidRDefault="0024574A" w:rsidP="00F20A16">
      <w:pPr>
        <w:spacing w:after="0" w:line="240" w:lineRule="auto"/>
        <w:ind w:left="2832" w:hanging="2832"/>
        <w:rPr>
          <w:sz w:val="24"/>
          <w:szCs w:val="24"/>
        </w:rPr>
      </w:pPr>
      <w:r w:rsidRPr="005D5C50">
        <w:rPr>
          <w:b/>
          <w:sz w:val="24"/>
          <w:szCs w:val="24"/>
        </w:rPr>
        <w:t>OGP</w:t>
      </w:r>
      <w:r>
        <w:rPr>
          <w:b/>
          <w:sz w:val="24"/>
          <w:szCs w:val="24"/>
        </w:rPr>
        <w:t>/PGO</w:t>
      </w:r>
      <w:r w:rsidRPr="005D5C50">
        <w:rPr>
          <w:sz w:val="24"/>
          <w:szCs w:val="24"/>
        </w:rPr>
        <w:t xml:space="preserve"> </w:t>
      </w:r>
      <w:r w:rsidRPr="005D5C50">
        <w:rPr>
          <w:sz w:val="24"/>
          <w:szCs w:val="24"/>
        </w:rPr>
        <w:tab/>
        <w:t xml:space="preserve">de l’anglais « Open Government Partnership » </w:t>
      </w:r>
      <w:r>
        <w:rPr>
          <w:sz w:val="24"/>
          <w:szCs w:val="24"/>
        </w:rPr>
        <w:t xml:space="preserve">/ </w:t>
      </w:r>
      <w:r w:rsidRPr="005D5C50">
        <w:rPr>
          <w:sz w:val="24"/>
          <w:szCs w:val="24"/>
        </w:rPr>
        <w:t>Partenariat inte</w:t>
      </w:r>
      <w:r>
        <w:rPr>
          <w:sz w:val="24"/>
          <w:szCs w:val="24"/>
        </w:rPr>
        <w:t>rnational pour un Gouvernement O</w:t>
      </w:r>
      <w:r w:rsidRPr="005D5C50">
        <w:rPr>
          <w:sz w:val="24"/>
          <w:szCs w:val="24"/>
        </w:rPr>
        <w:t>uvert</w:t>
      </w:r>
    </w:p>
    <w:p w14:paraId="794DD023" w14:textId="640EFBD6" w:rsidR="003A2C9E" w:rsidRPr="003A2C9E" w:rsidRDefault="003A2C9E" w:rsidP="00F20A16">
      <w:pPr>
        <w:spacing w:after="0" w:line="240" w:lineRule="auto"/>
        <w:ind w:left="2832" w:hanging="2832"/>
        <w:rPr>
          <w:b/>
          <w:sz w:val="28"/>
          <w:szCs w:val="24"/>
        </w:rPr>
      </w:pPr>
      <w:r w:rsidRPr="003A2C9E">
        <w:rPr>
          <w:rFonts w:ascii="Calibri" w:hAnsi="Calibri" w:cs="Calibri"/>
          <w:b/>
          <w:sz w:val="24"/>
        </w:rPr>
        <w:t>ONMP</w:t>
      </w:r>
      <w:r w:rsidRPr="003A2C9E">
        <w:rPr>
          <w:rFonts w:ascii="Calibri" w:hAnsi="Calibri" w:cs="Calibri"/>
          <w:b/>
          <w:sz w:val="24"/>
        </w:rPr>
        <w:tab/>
      </w:r>
      <w:r w:rsidRPr="003A2C9E">
        <w:rPr>
          <w:rFonts w:ascii="Calibri" w:hAnsi="Calibri" w:cs="Calibri"/>
          <w:sz w:val="24"/>
        </w:rPr>
        <w:t>Observatoire National des Marchés Publics</w:t>
      </w:r>
      <w:r w:rsidRPr="003A2C9E">
        <w:rPr>
          <w:rFonts w:ascii="Calibri" w:hAnsi="Calibri" w:cs="Calibri"/>
          <w:b/>
          <w:sz w:val="24"/>
        </w:rPr>
        <w:t xml:space="preserve"> </w:t>
      </w:r>
    </w:p>
    <w:p w14:paraId="3A399A12" w14:textId="7ABE1DC9" w:rsidR="005D4B21" w:rsidRDefault="005D4B21" w:rsidP="00F20A16">
      <w:pPr>
        <w:spacing w:after="0" w:line="240" w:lineRule="auto"/>
        <w:ind w:left="2832" w:hanging="2832"/>
        <w:rPr>
          <w:sz w:val="24"/>
          <w:szCs w:val="24"/>
        </w:rPr>
      </w:pPr>
      <w:r>
        <w:rPr>
          <w:b/>
          <w:sz w:val="24"/>
          <w:szCs w:val="24"/>
        </w:rPr>
        <w:t>PG</w:t>
      </w:r>
      <w:r>
        <w:rPr>
          <w:b/>
          <w:sz w:val="24"/>
          <w:szCs w:val="24"/>
        </w:rPr>
        <w:tab/>
      </w:r>
      <w:r w:rsidRPr="005D4B21">
        <w:rPr>
          <w:sz w:val="24"/>
          <w:szCs w:val="24"/>
        </w:rPr>
        <w:t>Présidence du Gouvernement</w:t>
      </w:r>
    </w:p>
    <w:p w14:paraId="6A89AAB1" w14:textId="25476FCD" w:rsidR="00E130EB" w:rsidRDefault="00E130EB" w:rsidP="00F20A16">
      <w:pPr>
        <w:spacing w:after="0" w:line="240" w:lineRule="auto"/>
        <w:ind w:left="2832" w:hanging="2832"/>
        <w:rPr>
          <w:sz w:val="24"/>
          <w:szCs w:val="24"/>
        </w:rPr>
      </w:pPr>
      <w:r>
        <w:rPr>
          <w:b/>
          <w:sz w:val="24"/>
          <w:szCs w:val="24"/>
        </w:rPr>
        <w:t>SC</w:t>
      </w:r>
      <w:r>
        <w:rPr>
          <w:b/>
          <w:sz w:val="24"/>
          <w:szCs w:val="24"/>
        </w:rPr>
        <w:tab/>
      </w:r>
      <w:r w:rsidRPr="00E130EB">
        <w:rPr>
          <w:sz w:val="24"/>
          <w:szCs w:val="24"/>
        </w:rPr>
        <w:t>Société Civile</w:t>
      </w:r>
    </w:p>
    <w:p w14:paraId="6D64E301" w14:textId="77777777" w:rsidR="00F20A16" w:rsidRPr="005D5C50" w:rsidRDefault="00F20A16" w:rsidP="00F20A16">
      <w:pPr>
        <w:spacing w:after="0" w:line="240" w:lineRule="auto"/>
        <w:rPr>
          <w:sz w:val="24"/>
          <w:szCs w:val="24"/>
        </w:rPr>
      </w:pPr>
      <w:r w:rsidRPr="00B679B6">
        <w:rPr>
          <w:b/>
          <w:sz w:val="24"/>
          <w:szCs w:val="24"/>
        </w:rPr>
        <w:t>SI</w:t>
      </w:r>
      <w:r>
        <w:rPr>
          <w:sz w:val="24"/>
          <w:szCs w:val="24"/>
        </w:rPr>
        <w:tab/>
      </w:r>
      <w:r>
        <w:rPr>
          <w:sz w:val="24"/>
          <w:szCs w:val="24"/>
        </w:rPr>
        <w:tab/>
      </w:r>
      <w:r>
        <w:rPr>
          <w:sz w:val="24"/>
          <w:szCs w:val="24"/>
        </w:rPr>
        <w:tab/>
      </w:r>
      <w:r>
        <w:rPr>
          <w:sz w:val="24"/>
          <w:szCs w:val="24"/>
        </w:rPr>
        <w:tab/>
      </w:r>
      <w:r w:rsidRPr="005D5C50">
        <w:rPr>
          <w:sz w:val="24"/>
          <w:szCs w:val="24"/>
        </w:rPr>
        <w:t>Système d’information</w:t>
      </w:r>
    </w:p>
    <w:p w14:paraId="28DEEA8B" w14:textId="67A40CA0" w:rsidR="00F20A16" w:rsidRDefault="00F20A16" w:rsidP="00F20A16">
      <w:pPr>
        <w:spacing w:after="0" w:line="240" w:lineRule="auto"/>
        <w:rPr>
          <w:sz w:val="24"/>
          <w:szCs w:val="24"/>
        </w:rPr>
      </w:pPr>
      <w:r w:rsidRPr="005D5C50">
        <w:rPr>
          <w:b/>
          <w:sz w:val="24"/>
          <w:szCs w:val="24"/>
        </w:rPr>
        <w:t>SIG</w:t>
      </w:r>
      <w:r w:rsidRPr="005D5C50">
        <w:rPr>
          <w:sz w:val="24"/>
          <w:szCs w:val="24"/>
        </w:rPr>
        <w:tab/>
      </w:r>
      <w:r w:rsidRPr="005D5C50">
        <w:rPr>
          <w:sz w:val="24"/>
          <w:szCs w:val="24"/>
        </w:rPr>
        <w:tab/>
      </w:r>
      <w:r w:rsidRPr="005D5C50">
        <w:rPr>
          <w:sz w:val="24"/>
          <w:szCs w:val="24"/>
        </w:rPr>
        <w:tab/>
      </w:r>
      <w:r w:rsidRPr="005D5C50">
        <w:rPr>
          <w:sz w:val="24"/>
          <w:szCs w:val="24"/>
        </w:rPr>
        <w:tab/>
        <w:t>Système d’information géographique</w:t>
      </w:r>
    </w:p>
    <w:p w14:paraId="1B85579B" w14:textId="1CC0B9FC" w:rsidR="00E7117A" w:rsidRPr="00E7117A" w:rsidRDefault="00E7117A" w:rsidP="00F20A16">
      <w:pPr>
        <w:spacing w:after="0" w:line="240" w:lineRule="auto"/>
        <w:rPr>
          <w:sz w:val="24"/>
          <w:szCs w:val="24"/>
        </w:rPr>
      </w:pPr>
      <w:r w:rsidRPr="00E7117A">
        <w:rPr>
          <w:b/>
          <w:sz w:val="24"/>
          <w:szCs w:val="24"/>
        </w:rPr>
        <w:t>TIC</w:t>
      </w:r>
      <w:r w:rsidRPr="00E7117A">
        <w:rPr>
          <w:sz w:val="24"/>
          <w:szCs w:val="24"/>
        </w:rPr>
        <w:tab/>
      </w:r>
      <w:r w:rsidRPr="00E7117A">
        <w:rPr>
          <w:sz w:val="24"/>
          <w:szCs w:val="24"/>
        </w:rPr>
        <w:tab/>
      </w:r>
      <w:r w:rsidRPr="00E7117A">
        <w:rPr>
          <w:sz w:val="24"/>
          <w:szCs w:val="24"/>
        </w:rPr>
        <w:tab/>
      </w:r>
      <w:r w:rsidRPr="00E7117A">
        <w:rPr>
          <w:sz w:val="24"/>
          <w:szCs w:val="24"/>
        </w:rPr>
        <w:tab/>
      </w:r>
      <w:r w:rsidRPr="00E7117A">
        <w:rPr>
          <w:rFonts w:ascii="Calibri" w:hAnsi="Calibri" w:cs="Calibri"/>
          <w:sz w:val="24"/>
          <w:szCs w:val="24"/>
        </w:rPr>
        <w:t>Technologie de</w:t>
      </w:r>
      <w:r>
        <w:rPr>
          <w:rFonts w:ascii="Calibri" w:hAnsi="Calibri" w:cs="Calibri"/>
          <w:sz w:val="24"/>
          <w:szCs w:val="24"/>
        </w:rPr>
        <w:t xml:space="preserve"> </w:t>
      </w:r>
      <w:r w:rsidRPr="00E7117A">
        <w:rPr>
          <w:rFonts w:ascii="Calibri" w:hAnsi="Calibri" w:cs="Calibri"/>
          <w:sz w:val="24"/>
          <w:szCs w:val="24"/>
        </w:rPr>
        <w:t>l'Information et de la Communication</w:t>
      </w:r>
    </w:p>
    <w:p w14:paraId="5D083350" w14:textId="51BB669C" w:rsidR="003A2C9E" w:rsidRPr="005D5C50" w:rsidRDefault="003A2C9E" w:rsidP="003A2C9E">
      <w:pPr>
        <w:spacing w:after="0" w:line="240" w:lineRule="auto"/>
        <w:ind w:left="2828" w:hanging="2828"/>
        <w:rPr>
          <w:sz w:val="24"/>
          <w:szCs w:val="24"/>
        </w:rPr>
      </w:pPr>
      <w:r w:rsidRPr="003A2C9E">
        <w:rPr>
          <w:b/>
          <w:sz w:val="24"/>
          <w:szCs w:val="24"/>
        </w:rPr>
        <w:t>TUNEPS</w:t>
      </w:r>
      <w:r>
        <w:rPr>
          <w:sz w:val="24"/>
          <w:szCs w:val="24"/>
        </w:rPr>
        <w:t xml:space="preserve"> </w:t>
      </w:r>
      <w:r>
        <w:rPr>
          <w:sz w:val="24"/>
          <w:szCs w:val="24"/>
        </w:rPr>
        <w:tab/>
      </w:r>
      <w:r>
        <w:rPr>
          <w:sz w:val="24"/>
          <w:szCs w:val="24"/>
        </w:rPr>
        <w:tab/>
      </w:r>
      <w:r w:rsidRPr="003A2C9E">
        <w:rPr>
          <w:sz w:val="24"/>
          <w:szCs w:val="24"/>
        </w:rPr>
        <w:t>Tunisia Electronic Procurement System – Système électronique de passation de marché</w:t>
      </w:r>
      <w:r>
        <w:rPr>
          <w:sz w:val="24"/>
          <w:szCs w:val="24"/>
        </w:rPr>
        <w:t>s</w:t>
      </w:r>
      <w:r w:rsidRPr="003A2C9E">
        <w:rPr>
          <w:sz w:val="24"/>
          <w:szCs w:val="24"/>
        </w:rPr>
        <w:t xml:space="preserve"> de la </w:t>
      </w:r>
      <w:r>
        <w:rPr>
          <w:sz w:val="24"/>
          <w:szCs w:val="24"/>
        </w:rPr>
        <w:t>Tunisie</w:t>
      </w:r>
    </w:p>
    <w:p w14:paraId="72276F5D" w14:textId="7C657637" w:rsidR="00A40A7D" w:rsidRPr="00F20A16" w:rsidRDefault="00A40A7D" w:rsidP="00F20A16">
      <w:pPr>
        <w:spacing w:line="240" w:lineRule="auto"/>
        <w:rPr>
          <w:sz w:val="24"/>
        </w:rPr>
      </w:pPr>
      <w:r w:rsidRPr="00F20A16">
        <w:rPr>
          <w:b/>
          <w:sz w:val="24"/>
        </w:rPr>
        <w:t>UAE</w:t>
      </w:r>
      <w:r w:rsidR="00F20A16" w:rsidRPr="00F20A16">
        <w:rPr>
          <w:sz w:val="24"/>
        </w:rPr>
        <w:tab/>
      </w:r>
      <w:r w:rsidR="00F20A16" w:rsidRPr="00F20A16">
        <w:rPr>
          <w:sz w:val="24"/>
        </w:rPr>
        <w:tab/>
      </w:r>
      <w:r w:rsidR="00F20A16" w:rsidRPr="00F20A16">
        <w:rPr>
          <w:sz w:val="24"/>
        </w:rPr>
        <w:tab/>
      </w:r>
      <w:r w:rsidR="00F20A16" w:rsidRPr="00F20A16">
        <w:rPr>
          <w:sz w:val="24"/>
        </w:rPr>
        <w:tab/>
        <w:t>Unité de l’Administration Electronique</w:t>
      </w:r>
    </w:p>
    <w:p w14:paraId="28A7BCB6" w14:textId="77777777" w:rsidR="00407963" w:rsidRPr="007920A9" w:rsidRDefault="00407963" w:rsidP="00026C12">
      <w:pPr>
        <w:jc w:val="both"/>
        <w:rPr>
          <w:rFonts w:asciiTheme="majorHAnsi" w:eastAsiaTheme="majorEastAsia" w:hAnsiTheme="majorHAnsi" w:cstheme="majorBidi"/>
          <w:b/>
          <w:bCs/>
          <w:color w:val="365F91" w:themeColor="accent1" w:themeShade="BF"/>
          <w:sz w:val="28"/>
          <w:szCs w:val="28"/>
        </w:rPr>
      </w:pPr>
      <w:r w:rsidRPr="007920A9">
        <w:br w:type="page"/>
      </w:r>
    </w:p>
    <w:p w14:paraId="45FF594D" w14:textId="77777777" w:rsidR="00407963" w:rsidRPr="007920A9" w:rsidRDefault="00407963" w:rsidP="00026C12">
      <w:pPr>
        <w:pStyle w:val="Titre1"/>
        <w:jc w:val="both"/>
      </w:pPr>
      <w:bookmarkStart w:id="9" w:name="_Toc459307833"/>
      <w:bookmarkStart w:id="10" w:name="_Toc496544774"/>
      <w:r w:rsidRPr="007920A9">
        <w:lastRenderedPageBreak/>
        <w:t>Méthodologie</w:t>
      </w:r>
      <w:bookmarkEnd w:id="9"/>
      <w:bookmarkEnd w:id="10"/>
    </w:p>
    <w:p w14:paraId="7011A7E0" w14:textId="6D437156" w:rsidR="00407963" w:rsidRPr="007920A9" w:rsidRDefault="00407963" w:rsidP="00026C12">
      <w:pPr>
        <w:jc w:val="both"/>
        <w:rPr>
          <w:sz w:val="24"/>
        </w:rPr>
      </w:pPr>
      <w:r w:rsidRPr="007920A9">
        <w:rPr>
          <w:sz w:val="24"/>
        </w:rPr>
        <w:t xml:space="preserve">Cette évaluation de l’état de préparation de la </w:t>
      </w:r>
      <w:r w:rsidR="00A22EAA" w:rsidRPr="007920A9">
        <w:rPr>
          <w:sz w:val="24"/>
        </w:rPr>
        <w:t xml:space="preserve">République </w:t>
      </w:r>
      <w:r w:rsidR="00B61E83" w:rsidRPr="007920A9">
        <w:rPr>
          <w:sz w:val="24"/>
        </w:rPr>
        <w:t>Tunisienne</w:t>
      </w:r>
      <w:r w:rsidRPr="007920A9">
        <w:rPr>
          <w:sz w:val="24"/>
        </w:rPr>
        <w:t xml:space="preserve"> en vue d’une initiative d’ouverture des données publique a été réalisée pour le gouvernement de la République </w:t>
      </w:r>
      <w:r w:rsidR="00B61E83" w:rsidRPr="007920A9">
        <w:rPr>
          <w:sz w:val="24"/>
        </w:rPr>
        <w:t>Tunisienne</w:t>
      </w:r>
      <w:r w:rsidRPr="007920A9">
        <w:rPr>
          <w:sz w:val="24"/>
        </w:rPr>
        <w:t>. Elle est le résultat d’un travail conjoint d’experts de la Banque Mond</w:t>
      </w:r>
      <w:r w:rsidR="00B61E83" w:rsidRPr="007920A9">
        <w:rPr>
          <w:sz w:val="24"/>
        </w:rPr>
        <w:t>iale et du gouvernement</w:t>
      </w:r>
      <w:r w:rsidRPr="007920A9">
        <w:rPr>
          <w:sz w:val="24"/>
        </w:rPr>
        <w:t xml:space="preserve">. Elle a été réalisée au cours d’une étude préliminaire en </w:t>
      </w:r>
      <w:r w:rsidR="00B61E83" w:rsidRPr="007920A9">
        <w:rPr>
          <w:sz w:val="24"/>
        </w:rPr>
        <w:t>Aout 2017</w:t>
      </w:r>
      <w:r w:rsidRPr="007920A9">
        <w:rPr>
          <w:sz w:val="24"/>
        </w:rPr>
        <w:t xml:space="preserve"> complétée d’une mission sur le terrain </w:t>
      </w:r>
      <w:r w:rsidR="004E6F22" w:rsidRPr="007920A9">
        <w:rPr>
          <w:sz w:val="24"/>
        </w:rPr>
        <w:t>du 25 Septembre</w:t>
      </w:r>
      <w:r w:rsidR="00AD60D0">
        <w:rPr>
          <w:sz w:val="24"/>
        </w:rPr>
        <w:t xml:space="preserve"> </w:t>
      </w:r>
      <w:r w:rsidR="00B61E83" w:rsidRPr="007920A9">
        <w:rPr>
          <w:sz w:val="24"/>
        </w:rPr>
        <w:t>2017</w:t>
      </w:r>
      <w:r w:rsidR="00A22EAA" w:rsidRPr="007920A9">
        <w:rPr>
          <w:sz w:val="24"/>
        </w:rPr>
        <w:t xml:space="preserve"> </w:t>
      </w:r>
      <w:r w:rsidR="004E6F22" w:rsidRPr="007920A9">
        <w:rPr>
          <w:sz w:val="24"/>
        </w:rPr>
        <w:t xml:space="preserve">au 3 Octobre 2017 </w:t>
      </w:r>
      <w:r w:rsidR="00A22EAA" w:rsidRPr="007920A9">
        <w:rPr>
          <w:sz w:val="24"/>
        </w:rPr>
        <w:t xml:space="preserve">implémentée par </w:t>
      </w:r>
      <w:r w:rsidR="00C04E42" w:rsidRPr="007920A9">
        <w:rPr>
          <w:sz w:val="24"/>
        </w:rPr>
        <w:t>SBC4D</w:t>
      </w:r>
      <w:r w:rsidR="00C04E42" w:rsidRPr="007920A9">
        <w:rPr>
          <w:rStyle w:val="Appelnotedebasdep"/>
          <w:sz w:val="24"/>
        </w:rPr>
        <w:footnoteReference w:id="16"/>
      </w:r>
      <w:r w:rsidRPr="007920A9">
        <w:rPr>
          <w:sz w:val="24"/>
        </w:rPr>
        <w:t xml:space="preserve">. </w:t>
      </w:r>
    </w:p>
    <w:p w14:paraId="70623276" w14:textId="019F1CCD" w:rsidR="00407963" w:rsidRPr="007920A9" w:rsidRDefault="00407963" w:rsidP="00026C12">
      <w:pPr>
        <w:jc w:val="both"/>
        <w:rPr>
          <w:sz w:val="24"/>
        </w:rPr>
      </w:pPr>
      <w:r w:rsidRPr="007920A9">
        <w:rPr>
          <w:sz w:val="24"/>
        </w:rPr>
        <w:t>L’objectif de cette évaluation est d’assister la Ré</w:t>
      </w:r>
      <w:r w:rsidR="00B61E83" w:rsidRPr="007920A9">
        <w:rPr>
          <w:sz w:val="24"/>
        </w:rPr>
        <w:t>publique Tunisienne</w:t>
      </w:r>
      <w:r w:rsidRPr="007920A9">
        <w:rPr>
          <w:sz w:val="24"/>
        </w:rPr>
        <w:t xml:space="preserve"> dans la définition d’un plan d’actions visant à </w:t>
      </w:r>
      <w:r w:rsidR="00B61E83" w:rsidRPr="007920A9">
        <w:rPr>
          <w:sz w:val="24"/>
        </w:rPr>
        <w:t>étendre les bénéfices de l’</w:t>
      </w:r>
      <w:r w:rsidRPr="007920A9">
        <w:rPr>
          <w:sz w:val="24"/>
        </w:rPr>
        <w:t>initiative d’ouverture des données</w:t>
      </w:r>
      <w:r w:rsidR="00B61E83" w:rsidRPr="007920A9">
        <w:rPr>
          <w:sz w:val="24"/>
        </w:rPr>
        <w:t xml:space="preserve"> commencée il y a quelques années</w:t>
      </w:r>
      <w:r w:rsidRPr="007920A9">
        <w:rPr>
          <w:sz w:val="24"/>
        </w:rPr>
        <w:t xml:space="preserve">. Cela signifie non seulement </w:t>
      </w:r>
      <w:r w:rsidR="008D1BA9" w:rsidRPr="007920A9">
        <w:rPr>
          <w:sz w:val="24"/>
        </w:rPr>
        <w:t xml:space="preserve">de </w:t>
      </w:r>
      <w:r w:rsidR="00A22EAA" w:rsidRPr="007920A9">
        <w:rPr>
          <w:sz w:val="24"/>
        </w:rPr>
        <w:t xml:space="preserve">prendre en charge </w:t>
      </w:r>
      <w:r w:rsidRPr="007920A9">
        <w:rPr>
          <w:sz w:val="24"/>
        </w:rPr>
        <w:t>les aspects techniques et réglementaires tels que l</w:t>
      </w:r>
      <w:r w:rsidR="00B61E83" w:rsidRPr="007920A9">
        <w:rPr>
          <w:sz w:val="24"/>
        </w:rPr>
        <w:t xml:space="preserve">’amélioration </w:t>
      </w:r>
      <w:r w:rsidR="00AD60D0">
        <w:rPr>
          <w:sz w:val="24"/>
        </w:rPr>
        <w:t>du portail open data</w:t>
      </w:r>
      <w:r w:rsidR="00AD60D0">
        <w:rPr>
          <w:rStyle w:val="Appelnotedebasdep"/>
          <w:sz w:val="24"/>
        </w:rPr>
        <w:footnoteReference w:id="17"/>
      </w:r>
      <w:r w:rsidR="00AD60D0">
        <w:rPr>
          <w:sz w:val="24"/>
        </w:rPr>
        <w:t xml:space="preserve"> </w:t>
      </w:r>
      <w:r w:rsidRPr="007920A9">
        <w:rPr>
          <w:sz w:val="24"/>
        </w:rPr>
        <w:t xml:space="preserve">et la publication des données, mais également </w:t>
      </w:r>
      <w:r w:rsidR="008D1BA9" w:rsidRPr="007920A9">
        <w:rPr>
          <w:sz w:val="24"/>
        </w:rPr>
        <w:t>d’</w:t>
      </w:r>
      <w:r w:rsidRPr="007920A9">
        <w:rPr>
          <w:sz w:val="24"/>
        </w:rPr>
        <w:t xml:space="preserve">évaluer les actions à engager pour développer l’ensemble de l’écosystème que sont les producteurs et ré-utilisateurs de données. Les questions liées à la gouvernance du projet et aux financements de l’initiative sont également prises en compte. </w:t>
      </w:r>
    </w:p>
    <w:p w14:paraId="0236BCE7" w14:textId="09681509" w:rsidR="00407963" w:rsidRPr="007920A9" w:rsidRDefault="00407963" w:rsidP="00026C12">
      <w:pPr>
        <w:jc w:val="both"/>
        <w:rPr>
          <w:sz w:val="24"/>
        </w:rPr>
      </w:pPr>
      <w:r w:rsidRPr="007920A9">
        <w:rPr>
          <w:sz w:val="24"/>
        </w:rPr>
        <w:t>L’outil d’évaluation de l’état de préparation de la Banque Mondiale utilise une approche « écosystème ». Cela signifie qu’il a été conçu pour évaluer l’environnement global d’une potentielle initiative, incluant à la fois la partie mise à disposition : les données existantes, le cadre réglementaire, l’infrastructure ; et la partie demande ou réutilisation : les mécanismes d’interaction avec la société civile</w:t>
      </w:r>
      <w:r w:rsidR="00E130EB">
        <w:rPr>
          <w:sz w:val="24"/>
        </w:rPr>
        <w:t xml:space="preserve"> (SC)</w:t>
      </w:r>
      <w:r w:rsidRPr="007920A9">
        <w:rPr>
          <w:sz w:val="24"/>
        </w:rPr>
        <w:t>, ainsi que la demande en données de la part des différentes communautés (développeurs, média</w:t>
      </w:r>
      <w:r w:rsidR="008C1EBC">
        <w:rPr>
          <w:sz w:val="24"/>
        </w:rPr>
        <w:t>s</w:t>
      </w:r>
      <w:r w:rsidRPr="007920A9">
        <w:rPr>
          <w:sz w:val="24"/>
        </w:rPr>
        <w:t xml:space="preserve">, administrations). </w:t>
      </w:r>
    </w:p>
    <w:p w14:paraId="08F989EB" w14:textId="77777777" w:rsidR="00407963" w:rsidRPr="007920A9" w:rsidRDefault="00407963" w:rsidP="00026C12">
      <w:pPr>
        <w:jc w:val="both"/>
        <w:rPr>
          <w:sz w:val="24"/>
        </w:rPr>
      </w:pPr>
      <w:r w:rsidRPr="007920A9">
        <w:rPr>
          <w:sz w:val="24"/>
        </w:rPr>
        <w:t xml:space="preserve">Cette évaluation s’intéresse à huit dimensions considérées comme essentielles pour une initiative d’ouverture des données permettant d’engager et de développer un écosystème durable. Les recommandations émises assument que l’initiative </w:t>
      </w:r>
      <w:r w:rsidR="00A22EAA" w:rsidRPr="007920A9">
        <w:rPr>
          <w:sz w:val="24"/>
        </w:rPr>
        <w:t>prendra en charge</w:t>
      </w:r>
      <w:r w:rsidRPr="007920A9">
        <w:rPr>
          <w:sz w:val="24"/>
        </w:rPr>
        <w:t xml:space="preserve"> les différents aspects de l’écosystème. </w:t>
      </w:r>
    </w:p>
    <w:p w14:paraId="682C9EFD" w14:textId="6DCCAAB4" w:rsidR="00407963" w:rsidRPr="007920A9" w:rsidRDefault="00407963" w:rsidP="00026C12">
      <w:pPr>
        <w:spacing w:after="120"/>
        <w:jc w:val="both"/>
        <w:rPr>
          <w:sz w:val="24"/>
        </w:rPr>
      </w:pPr>
      <w:r w:rsidRPr="007920A9">
        <w:rPr>
          <w:sz w:val="24"/>
        </w:rPr>
        <w:t>L’évaluation vise à définir un plan d’actions cohérent et pouvant être mis en œuvre rapidement. Les recommandations et actions proposées prennent en compte à la fois les bonnes pratiques internationales mais également le contexte et les compétences du gouvernement de la Ré</w:t>
      </w:r>
      <w:r w:rsidR="00B61E83" w:rsidRPr="007920A9">
        <w:rPr>
          <w:sz w:val="24"/>
        </w:rPr>
        <w:t>publique Tunisienne</w:t>
      </w:r>
      <w:r w:rsidRPr="007920A9">
        <w:rPr>
          <w:sz w:val="24"/>
        </w:rPr>
        <w:t xml:space="preserve">. Pour chacune des dimensions, l’évaluation considère une série de questions principales qui permettent d’identifier les évidences en </w:t>
      </w:r>
      <w:r w:rsidRPr="007920A9">
        <w:rPr>
          <w:sz w:val="24"/>
        </w:rPr>
        <w:lastRenderedPageBreak/>
        <w:t>faveur ou en défaveur d’une initiative. Les résultats à ces questions sont fournis selon un code couleur</w:t>
      </w:r>
      <w:r w:rsidR="00A25098">
        <w:rPr>
          <w:rStyle w:val="Appelnotedebasdep"/>
          <w:sz w:val="24"/>
        </w:rPr>
        <w:footnoteReference w:id="18"/>
      </w:r>
      <w:r w:rsidRPr="007920A9">
        <w:rPr>
          <w:sz w:val="24"/>
        </w:rPr>
        <w:t xml:space="preserve"> : </w:t>
      </w:r>
    </w:p>
    <w:p w14:paraId="12DC3D99" w14:textId="77777777" w:rsidR="00407963" w:rsidRPr="007920A9" w:rsidRDefault="00407963" w:rsidP="00026C12">
      <w:pPr>
        <w:spacing w:after="0"/>
        <w:jc w:val="both"/>
        <w:rPr>
          <w:sz w:val="24"/>
        </w:rPr>
      </w:pPr>
      <w:r w:rsidRPr="007920A9">
        <w:rPr>
          <w:sz w:val="24"/>
          <w:highlight w:val="green"/>
        </w:rPr>
        <w:t>- Vert</w:t>
      </w:r>
      <w:r w:rsidRPr="007920A9">
        <w:rPr>
          <w:sz w:val="24"/>
        </w:rPr>
        <w:t xml:space="preserve"> signifie qu’il y a un ensemble d’éléments clairs en faveur de l’initiative ; </w:t>
      </w:r>
    </w:p>
    <w:p w14:paraId="2633DE24" w14:textId="50208A89" w:rsidR="00407963" w:rsidRPr="007920A9" w:rsidRDefault="00407963" w:rsidP="00026C12">
      <w:pPr>
        <w:spacing w:after="0"/>
        <w:jc w:val="both"/>
        <w:rPr>
          <w:sz w:val="24"/>
        </w:rPr>
      </w:pPr>
      <w:r w:rsidRPr="007920A9">
        <w:rPr>
          <w:sz w:val="24"/>
          <w:highlight w:val="yellow"/>
        </w:rPr>
        <w:t>- Jaune</w:t>
      </w:r>
      <w:r w:rsidRPr="007920A9">
        <w:rPr>
          <w:sz w:val="24"/>
        </w:rPr>
        <w:t xml:space="preserve"> signifie qu’il y a à la fois des éléments en fave</w:t>
      </w:r>
      <w:r w:rsidR="00A22EAA" w:rsidRPr="007920A9">
        <w:rPr>
          <w:sz w:val="24"/>
        </w:rPr>
        <w:t>ur et en défaveur</w:t>
      </w:r>
      <w:r w:rsidRPr="007920A9">
        <w:rPr>
          <w:sz w:val="24"/>
        </w:rPr>
        <w:t xml:space="preserve"> de l’initiative ; </w:t>
      </w:r>
    </w:p>
    <w:p w14:paraId="2EDDD077" w14:textId="77777777" w:rsidR="00407963" w:rsidRPr="007920A9" w:rsidRDefault="00407963" w:rsidP="00026C12">
      <w:pPr>
        <w:spacing w:after="0"/>
        <w:jc w:val="both"/>
        <w:rPr>
          <w:color w:val="E4E1D2"/>
          <w:sz w:val="24"/>
        </w:rPr>
      </w:pPr>
      <w:r w:rsidRPr="007920A9">
        <w:rPr>
          <w:sz w:val="24"/>
          <w:highlight w:val="red"/>
        </w:rPr>
        <w:t>- Rouge</w:t>
      </w:r>
      <w:r w:rsidRPr="007920A9">
        <w:rPr>
          <w:sz w:val="24"/>
        </w:rPr>
        <w:t xml:space="preserve"> signifie qu’il y existe des barrières substantielles à la mise en œuvre de l’initiative ; Ces barrières devront être résolues pour un développement pérenne de l’initiative.</w:t>
      </w:r>
      <w:r w:rsidRPr="007920A9">
        <w:rPr>
          <w:color w:val="E4E1D2"/>
          <w:sz w:val="24"/>
        </w:rPr>
        <w:t xml:space="preserve"> </w:t>
      </w:r>
    </w:p>
    <w:p w14:paraId="0E93205A" w14:textId="77777777" w:rsidR="00407963" w:rsidRPr="007920A9" w:rsidRDefault="00407963" w:rsidP="00026C12">
      <w:pPr>
        <w:jc w:val="both"/>
        <w:rPr>
          <w:sz w:val="24"/>
        </w:rPr>
      </w:pPr>
      <w:r w:rsidRPr="007920A9">
        <w:rPr>
          <w:sz w:val="24"/>
          <w:highlight w:val="lightGray"/>
        </w:rPr>
        <w:t>- Gris</w:t>
      </w:r>
      <w:r w:rsidRPr="007920A9">
        <w:rPr>
          <w:sz w:val="24"/>
        </w:rPr>
        <w:t xml:space="preserve"> signifie qu’il y a une absence d’information. </w:t>
      </w:r>
    </w:p>
    <w:p w14:paraId="3D4CDC3C" w14:textId="77777777" w:rsidR="00407963" w:rsidRPr="007920A9" w:rsidRDefault="00407963" w:rsidP="00026C12">
      <w:pPr>
        <w:jc w:val="both"/>
        <w:rPr>
          <w:rFonts w:eastAsiaTheme="majorEastAsia" w:cstheme="majorBidi"/>
          <w:b/>
          <w:color w:val="548DD4" w:themeColor="text2" w:themeTint="99"/>
          <w:sz w:val="28"/>
          <w:szCs w:val="28"/>
        </w:rPr>
      </w:pPr>
      <w:r w:rsidRPr="007920A9">
        <w:rPr>
          <w:sz w:val="24"/>
        </w:rPr>
        <w:t xml:space="preserve">Chaque question principale est évaluée en fonction de questions secondaires. Lorsque la réponse à une question secondaire est en faveur de l’initiative, elle est précédée d’un signe « </w:t>
      </w:r>
      <w:r w:rsidRPr="007920A9">
        <w:rPr>
          <w:b/>
          <w:bCs/>
          <w:sz w:val="24"/>
        </w:rPr>
        <w:t xml:space="preserve">+ </w:t>
      </w:r>
      <w:r w:rsidRPr="007920A9">
        <w:rPr>
          <w:sz w:val="24"/>
        </w:rPr>
        <w:t xml:space="preserve">». Lorsque la réponse est en défaveur de l’initiative, elle est précédée d’un signe « </w:t>
      </w:r>
      <w:r w:rsidRPr="007920A9">
        <w:rPr>
          <w:b/>
          <w:bCs/>
          <w:sz w:val="24"/>
        </w:rPr>
        <w:t xml:space="preserve">- </w:t>
      </w:r>
      <w:r w:rsidRPr="007920A9">
        <w:rPr>
          <w:sz w:val="24"/>
        </w:rPr>
        <w:t xml:space="preserve">». Les réponses neutres ou dont l’impact est difficile à évaluer sont précédées d’un signe « </w:t>
      </w:r>
      <w:r w:rsidRPr="007920A9">
        <w:rPr>
          <w:b/>
          <w:bCs/>
          <w:sz w:val="24"/>
        </w:rPr>
        <w:t xml:space="preserve">0 </w:t>
      </w:r>
      <w:r w:rsidRPr="007920A9">
        <w:rPr>
          <w:sz w:val="24"/>
        </w:rPr>
        <w:t xml:space="preserve">». </w:t>
      </w:r>
      <w:r w:rsidRPr="007920A9">
        <w:rPr>
          <w:bCs/>
          <w:color w:val="548DD4" w:themeColor="text2" w:themeTint="99"/>
        </w:rPr>
        <w:br w:type="page"/>
      </w:r>
    </w:p>
    <w:p w14:paraId="48A9C4D6" w14:textId="1C207FD8" w:rsidR="00407963" w:rsidRPr="007920A9" w:rsidRDefault="003031BA" w:rsidP="00026C12">
      <w:pPr>
        <w:pStyle w:val="Titre1"/>
        <w:jc w:val="both"/>
      </w:pPr>
      <w:bookmarkStart w:id="11" w:name="_Toc459307834"/>
      <w:bookmarkStart w:id="12" w:name="_Toc496544775"/>
      <w:r>
        <w:lastRenderedPageBreak/>
        <w:t>Le contexte Tunis</w:t>
      </w:r>
      <w:r w:rsidR="00407963" w:rsidRPr="007920A9">
        <w:t>ien</w:t>
      </w:r>
      <w:r w:rsidR="00407963" w:rsidRPr="007920A9">
        <w:rPr>
          <w:rStyle w:val="Appelnotedebasdep"/>
        </w:rPr>
        <w:footnoteReference w:id="19"/>
      </w:r>
      <w:bookmarkEnd w:id="11"/>
      <w:bookmarkEnd w:id="12"/>
    </w:p>
    <w:p w14:paraId="27A602FB" w14:textId="29AE6E49" w:rsidR="00A52A88" w:rsidRDefault="00D6024C" w:rsidP="00D6024C">
      <w:pPr>
        <w:jc w:val="both"/>
        <w:rPr>
          <w:sz w:val="24"/>
          <w:szCs w:val="24"/>
        </w:rPr>
      </w:pPr>
      <w:r w:rsidRPr="001B6DD5">
        <w:rPr>
          <w:sz w:val="24"/>
          <w:szCs w:val="24"/>
        </w:rPr>
        <w:t xml:space="preserve">La Tunisie est un Etat d’Afrique du Nord au bord de la mer Méditerranée au nord et à l’est, et entouré par la Libye au sud-est et au sud et par l’Algérie au sud-ouest et à l’ouest. </w:t>
      </w:r>
      <w:r>
        <w:rPr>
          <w:sz w:val="24"/>
          <w:szCs w:val="24"/>
        </w:rPr>
        <w:t>Elle s’étend sur une superficie de 163 610 km2 et sa population est estimée à 11 304 482 habitants en 2016 (source INS</w:t>
      </w:r>
      <w:r>
        <w:rPr>
          <w:rStyle w:val="Appelnotedebasdep"/>
          <w:sz w:val="24"/>
          <w:szCs w:val="24"/>
        </w:rPr>
        <w:footnoteReference w:id="20"/>
      </w:r>
      <w:r>
        <w:rPr>
          <w:sz w:val="24"/>
          <w:szCs w:val="24"/>
        </w:rPr>
        <w:t>).</w:t>
      </w:r>
    </w:p>
    <w:p w14:paraId="303A9E08" w14:textId="244C0C84" w:rsidR="00D6024C" w:rsidRDefault="00D6024C" w:rsidP="00F64F79">
      <w:pPr>
        <w:jc w:val="both"/>
        <w:rPr>
          <w:sz w:val="24"/>
          <w:szCs w:val="24"/>
        </w:rPr>
      </w:pPr>
      <w:r>
        <w:rPr>
          <w:sz w:val="24"/>
          <w:szCs w:val="24"/>
        </w:rPr>
        <w:t xml:space="preserve">La Tunisie est répartie en 24 gouvernorats, </w:t>
      </w:r>
      <w:r w:rsidR="00F64F79" w:rsidRPr="00F64F79">
        <w:rPr>
          <w:sz w:val="24"/>
          <w:szCs w:val="24"/>
        </w:rPr>
        <w:t>264 délégations</w:t>
      </w:r>
      <w:r w:rsidR="00A25098">
        <w:rPr>
          <w:sz w:val="24"/>
          <w:szCs w:val="24"/>
        </w:rPr>
        <w:t>,</w:t>
      </w:r>
      <w:r w:rsidR="00F64F79">
        <w:rPr>
          <w:sz w:val="24"/>
          <w:szCs w:val="24"/>
        </w:rPr>
        <w:t xml:space="preserve"> </w:t>
      </w:r>
      <w:r w:rsidR="008C1EBC">
        <w:rPr>
          <w:sz w:val="24"/>
          <w:szCs w:val="24"/>
        </w:rPr>
        <w:t>350</w:t>
      </w:r>
      <w:r w:rsidR="00F64F79" w:rsidRPr="00F64F79">
        <w:rPr>
          <w:sz w:val="24"/>
          <w:szCs w:val="24"/>
        </w:rPr>
        <w:t xml:space="preserve"> municipalités</w:t>
      </w:r>
      <w:r w:rsidR="00F64F79">
        <w:rPr>
          <w:sz w:val="24"/>
          <w:szCs w:val="24"/>
        </w:rPr>
        <w:t>,</w:t>
      </w:r>
      <w:r w:rsidRPr="00D6024C">
        <w:rPr>
          <w:sz w:val="24"/>
          <w:szCs w:val="24"/>
        </w:rPr>
        <w:t xml:space="preserve"> </w:t>
      </w:r>
      <w:r w:rsidR="00EC0E4F">
        <w:rPr>
          <w:sz w:val="24"/>
          <w:szCs w:val="24"/>
        </w:rPr>
        <w:t>et 2073 Im</w:t>
      </w:r>
      <w:r w:rsidR="008C1EBC">
        <w:rPr>
          <w:sz w:val="24"/>
          <w:szCs w:val="24"/>
        </w:rPr>
        <w:t>a</w:t>
      </w:r>
      <w:r w:rsidR="00EC0E4F">
        <w:rPr>
          <w:sz w:val="24"/>
          <w:szCs w:val="24"/>
        </w:rPr>
        <w:t xml:space="preserve">da (secteurs). </w:t>
      </w:r>
      <w:r w:rsidR="005D4B21">
        <w:rPr>
          <w:sz w:val="24"/>
          <w:szCs w:val="24"/>
        </w:rPr>
        <w:t xml:space="preserve">D’un point de vue économique, </w:t>
      </w:r>
      <w:r w:rsidR="00EC0E4F">
        <w:rPr>
          <w:sz w:val="24"/>
          <w:szCs w:val="24"/>
        </w:rPr>
        <w:t>Le secteur primaire occupe 10.1 % du PIB, le secteur secondaire en occupe 28.3 % et le secteur tertiaire 61.6 % (Source World Fact Book</w:t>
      </w:r>
      <w:r w:rsidR="00EC0E4F">
        <w:rPr>
          <w:rStyle w:val="Appelnotedebasdep"/>
          <w:sz w:val="24"/>
          <w:szCs w:val="24"/>
        </w:rPr>
        <w:footnoteReference w:id="21"/>
      </w:r>
      <w:r w:rsidR="00EC0E4F">
        <w:rPr>
          <w:sz w:val="24"/>
          <w:szCs w:val="24"/>
        </w:rPr>
        <w:t>). L’inflation s’établit à 5.7% en Aout 2017, et la croissance à 1.8% (2</w:t>
      </w:r>
      <w:r w:rsidR="00EC0E4F" w:rsidRPr="00EC0E4F">
        <w:rPr>
          <w:sz w:val="24"/>
          <w:szCs w:val="24"/>
          <w:vertAlign w:val="superscript"/>
        </w:rPr>
        <w:t>ème</w:t>
      </w:r>
      <w:r w:rsidR="00EC0E4F">
        <w:rPr>
          <w:sz w:val="24"/>
          <w:szCs w:val="24"/>
        </w:rPr>
        <w:t xml:space="preserve"> trimestre 2017) selon les chiffres de L’INS.</w:t>
      </w:r>
      <w:r w:rsidR="005D4B21">
        <w:rPr>
          <w:sz w:val="24"/>
          <w:szCs w:val="24"/>
        </w:rPr>
        <w:t xml:space="preserve"> Avec un PIB par habitant s’élevant à </w:t>
      </w:r>
      <w:r w:rsidR="005D4B21" w:rsidRPr="005D4B21">
        <w:rPr>
          <w:sz w:val="24"/>
          <w:szCs w:val="24"/>
        </w:rPr>
        <w:t>3 688,65</w:t>
      </w:r>
      <w:r w:rsidR="005D4B21">
        <w:rPr>
          <w:sz w:val="24"/>
          <w:szCs w:val="24"/>
        </w:rPr>
        <w:t xml:space="preserve">$ en 2016, la Tunisie est </w:t>
      </w:r>
      <w:r w:rsidR="006B5D45">
        <w:rPr>
          <w:sz w:val="24"/>
          <w:szCs w:val="24"/>
        </w:rPr>
        <w:t>classée</w:t>
      </w:r>
      <w:r w:rsidR="005D4B21">
        <w:rPr>
          <w:sz w:val="24"/>
          <w:szCs w:val="24"/>
        </w:rPr>
        <w:t xml:space="preserve"> dans la catégorie « </w:t>
      </w:r>
      <w:r w:rsidR="005D4B21" w:rsidRPr="005D4B21">
        <w:rPr>
          <w:sz w:val="24"/>
          <w:szCs w:val="24"/>
        </w:rPr>
        <w:t>Revenu intermédiaire, tranche inférieure</w:t>
      </w:r>
      <w:r w:rsidR="005D4B21">
        <w:rPr>
          <w:sz w:val="24"/>
          <w:szCs w:val="24"/>
        </w:rPr>
        <w:t> » par la Banque Mondial.</w:t>
      </w:r>
    </w:p>
    <w:p w14:paraId="3DD1F4E7" w14:textId="51BAF255" w:rsidR="00843D61" w:rsidRDefault="00843D61" w:rsidP="00D6024C">
      <w:pPr>
        <w:jc w:val="both"/>
        <w:rPr>
          <w:sz w:val="24"/>
          <w:szCs w:val="24"/>
        </w:rPr>
      </w:pPr>
      <w:r w:rsidRPr="00843D61">
        <w:rPr>
          <w:sz w:val="24"/>
          <w:szCs w:val="24"/>
        </w:rPr>
        <w:t>Intégrée aux principales instances de la communauté internationale telles que l’ONU ou la Cour pénale internationale, la Tunisie fait également partie de l’Union du Maghreb arabe, de la Ligue arabe, de la Grande zone arabe de libre-échange, de l’Organisation de la coopération islamique, de l’Union pour la Méditerranée, de l’Union africaine, de l’Organisation internationale de la francophonie, du Groupe des 77, de la Communauté des États sahélo-sahariens et du mouvement des non-alignés. La Tunisie a également conclu un accord d'association avec l'Union européenne et obtenu le statut d’allié majeur hors OTAN.</w:t>
      </w:r>
    </w:p>
    <w:p w14:paraId="5B54D09F" w14:textId="36FECBCD" w:rsidR="00D6024C" w:rsidRDefault="00EC0E4F" w:rsidP="008A2E32">
      <w:pPr>
        <w:jc w:val="both"/>
        <w:rPr>
          <w:rFonts w:asciiTheme="majorHAnsi" w:eastAsiaTheme="majorEastAsia" w:hAnsiTheme="majorHAnsi" w:cstheme="majorBidi"/>
          <w:b/>
          <w:bCs/>
          <w:caps/>
          <w:color w:val="FFFFFF" w:themeColor="background1"/>
          <w:sz w:val="28"/>
          <w:szCs w:val="28"/>
        </w:rPr>
      </w:pPr>
      <w:r>
        <w:rPr>
          <w:sz w:val="24"/>
          <w:szCs w:val="24"/>
        </w:rPr>
        <w:t>D’un point de vue politique, la Révolut</w:t>
      </w:r>
      <w:r w:rsidR="00C22EC4">
        <w:rPr>
          <w:sz w:val="24"/>
          <w:szCs w:val="24"/>
        </w:rPr>
        <w:t>io</w:t>
      </w:r>
      <w:r>
        <w:rPr>
          <w:sz w:val="24"/>
          <w:szCs w:val="24"/>
        </w:rPr>
        <w:t>n de Janvier de 2011</w:t>
      </w:r>
      <w:r w:rsidR="00C22EC4">
        <w:rPr>
          <w:sz w:val="24"/>
          <w:szCs w:val="24"/>
        </w:rPr>
        <w:t xml:space="preserve"> a amené la chute d</w:t>
      </w:r>
      <w:r w:rsidR="008C1EBC">
        <w:rPr>
          <w:sz w:val="24"/>
          <w:szCs w:val="24"/>
        </w:rPr>
        <w:t>u</w:t>
      </w:r>
      <w:r w:rsidR="00C22EC4">
        <w:rPr>
          <w:sz w:val="24"/>
          <w:szCs w:val="24"/>
        </w:rPr>
        <w:t xml:space="preserve"> régime de Ben Ali et a engagé la Tunisie dans la voie de la transparence, avec l’émergence d’une nouvelle constitution adoptée en 2014. </w:t>
      </w:r>
      <w:r w:rsidR="006B5D45">
        <w:rPr>
          <w:sz w:val="24"/>
          <w:szCs w:val="24"/>
        </w:rPr>
        <w:t>Les premières élections législatives</w:t>
      </w:r>
      <w:r w:rsidR="002B2045">
        <w:rPr>
          <w:sz w:val="24"/>
          <w:szCs w:val="24"/>
        </w:rPr>
        <w:t xml:space="preserve"> pour l’Assemblée des Représentants du Peuple (ARP) ont lieu en octobre 2014 et les premières élections </w:t>
      </w:r>
      <w:r w:rsidR="00C22EC4">
        <w:rPr>
          <w:sz w:val="24"/>
          <w:szCs w:val="24"/>
        </w:rPr>
        <w:t>présidentielles se sont tenu</w:t>
      </w:r>
      <w:r w:rsidR="002B2045">
        <w:rPr>
          <w:sz w:val="24"/>
          <w:szCs w:val="24"/>
        </w:rPr>
        <w:t>es</w:t>
      </w:r>
      <w:r w:rsidR="00C22EC4">
        <w:rPr>
          <w:sz w:val="24"/>
          <w:szCs w:val="24"/>
        </w:rPr>
        <w:t xml:space="preserve"> au suffrage </w:t>
      </w:r>
      <w:r w:rsidR="002B2045">
        <w:rPr>
          <w:sz w:val="24"/>
          <w:szCs w:val="24"/>
        </w:rPr>
        <w:t xml:space="preserve">universel en Novembre 2014 et a porté au pouvoir </w:t>
      </w:r>
      <w:r w:rsidR="00F64F79">
        <w:rPr>
          <w:sz w:val="24"/>
          <w:szCs w:val="24"/>
        </w:rPr>
        <w:t xml:space="preserve">le </w:t>
      </w:r>
      <w:r w:rsidR="009E42EF">
        <w:rPr>
          <w:sz w:val="24"/>
          <w:szCs w:val="24"/>
        </w:rPr>
        <w:t>P</w:t>
      </w:r>
      <w:r w:rsidR="00F64F79">
        <w:rPr>
          <w:sz w:val="24"/>
          <w:szCs w:val="24"/>
        </w:rPr>
        <w:t xml:space="preserve">résident </w:t>
      </w:r>
      <w:r w:rsidR="009E42EF">
        <w:rPr>
          <w:sz w:val="24"/>
          <w:szCs w:val="24"/>
        </w:rPr>
        <w:t xml:space="preserve">de la République </w:t>
      </w:r>
      <w:r w:rsidR="00F64F79">
        <w:rPr>
          <w:sz w:val="24"/>
          <w:szCs w:val="24"/>
        </w:rPr>
        <w:t xml:space="preserve">actuel, Beji </w:t>
      </w:r>
      <w:r w:rsidR="002B2045" w:rsidRPr="00F64F79">
        <w:rPr>
          <w:sz w:val="24"/>
          <w:szCs w:val="24"/>
        </w:rPr>
        <w:t>Caïd Essebsi</w:t>
      </w:r>
      <w:r w:rsidR="002B2045">
        <w:rPr>
          <w:rFonts w:ascii="Arial" w:hAnsi="Arial" w:cs="Arial"/>
          <w:color w:val="222222"/>
          <w:sz w:val="21"/>
          <w:szCs w:val="21"/>
          <w:shd w:val="clear" w:color="auto" w:fill="FFFFFF"/>
        </w:rPr>
        <w:t>.</w:t>
      </w:r>
      <w:r w:rsidR="00C22EC4">
        <w:rPr>
          <w:sz w:val="24"/>
          <w:szCs w:val="24"/>
        </w:rPr>
        <w:t xml:space="preserve"> </w:t>
      </w:r>
      <w:r w:rsidR="005D4B21">
        <w:rPr>
          <w:sz w:val="24"/>
          <w:szCs w:val="24"/>
        </w:rPr>
        <w:t xml:space="preserve">Malgré une relative instabilité politique avec </w:t>
      </w:r>
      <w:r w:rsidR="006B5D45">
        <w:rPr>
          <w:sz w:val="24"/>
          <w:szCs w:val="24"/>
        </w:rPr>
        <w:t>plusieurs changements</w:t>
      </w:r>
      <w:r w:rsidR="005D4B21">
        <w:rPr>
          <w:sz w:val="24"/>
          <w:szCs w:val="24"/>
        </w:rPr>
        <w:t xml:space="preserve"> de gouvernements (</w:t>
      </w:r>
      <w:r w:rsidR="006B5D45">
        <w:rPr>
          <w:sz w:val="24"/>
          <w:szCs w:val="24"/>
        </w:rPr>
        <w:t>deux gouvernements</w:t>
      </w:r>
      <w:r w:rsidR="005D4B21">
        <w:rPr>
          <w:sz w:val="24"/>
          <w:szCs w:val="24"/>
        </w:rPr>
        <w:t xml:space="preserve"> depuis 2014 et </w:t>
      </w:r>
      <w:r w:rsidR="006B5D45">
        <w:rPr>
          <w:sz w:val="24"/>
          <w:szCs w:val="24"/>
        </w:rPr>
        <w:t>plusieurs remaniements ministériels</w:t>
      </w:r>
      <w:r w:rsidR="005D4B21">
        <w:rPr>
          <w:sz w:val="24"/>
          <w:szCs w:val="24"/>
        </w:rPr>
        <w:t xml:space="preserve"> dont le dernier en Septembre 2017), l’engagement du pays vers plus de transparence et d’ouverture vers la Société Civile est constant avec plusieurs</w:t>
      </w:r>
      <w:r w:rsidR="002B2045">
        <w:rPr>
          <w:sz w:val="24"/>
          <w:szCs w:val="24"/>
        </w:rPr>
        <w:t xml:space="preserve"> loi</w:t>
      </w:r>
      <w:r w:rsidR="00843D61">
        <w:rPr>
          <w:sz w:val="24"/>
          <w:szCs w:val="24"/>
        </w:rPr>
        <w:t>s</w:t>
      </w:r>
      <w:r w:rsidR="002B2045">
        <w:rPr>
          <w:sz w:val="24"/>
          <w:szCs w:val="24"/>
        </w:rPr>
        <w:t xml:space="preserve"> pour la transparence et l’accès à l’information </w:t>
      </w:r>
      <w:r w:rsidR="00843D61">
        <w:rPr>
          <w:sz w:val="24"/>
          <w:szCs w:val="24"/>
        </w:rPr>
        <w:t xml:space="preserve">d’abord adopté sous forme de </w:t>
      </w:r>
      <w:r w:rsidR="008A2E32">
        <w:rPr>
          <w:sz w:val="24"/>
          <w:szCs w:val="24"/>
        </w:rPr>
        <w:t>décrets-lois</w:t>
      </w:r>
      <w:r w:rsidR="005D4B21">
        <w:rPr>
          <w:sz w:val="24"/>
          <w:szCs w:val="24"/>
        </w:rPr>
        <w:t xml:space="preserve"> en 2011 puis transformé</w:t>
      </w:r>
      <w:r w:rsidR="008C1EBC">
        <w:rPr>
          <w:sz w:val="24"/>
          <w:szCs w:val="24"/>
        </w:rPr>
        <w:t>s</w:t>
      </w:r>
      <w:r w:rsidR="005D4B21">
        <w:rPr>
          <w:sz w:val="24"/>
          <w:szCs w:val="24"/>
        </w:rPr>
        <w:t xml:space="preserve"> en </w:t>
      </w:r>
      <w:r w:rsidR="008C1EBC">
        <w:rPr>
          <w:sz w:val="24"/>
          <w:szCs w:val="24"/>
        </w:rPr>
        <w:t xml:space="preserve">une </w:t>
      </w:r>
      <w:r w:rsidR="005D4B21">
        <w:rPr>
          <w:sz w:val="24"/>
          <w:szCs w:val="24"/>
        </w:rPr>
        <w:t>loi</w:t>
      </w:r>
      <w:r w:rsidR="00843D61">
        <w:rPr>
          <w:sz w:val="24"/>
          <w:szCs w:val="24"/>
        </w:rPr>
        <w:t xml:space="preserve"> </w:t>
      </w:r>
      <w:r w:rsidR="005D4B21">
        <w:rPr>
          <w:sz w:val="24"/>
          <w:szCs w:val="24"/>
        </w:rPr>
        <w:t>organique</w:t>
      </w:r>
      <w:r w:rsidR="00843D61">
        <w:rPr>
          <w:sz w:val="24"/>
          <w:szCs w:val="24"/>
        </w:rPr>
        <w:t xml:space="preserve"> après </w:t>
      </w:r>
      <w:r w:rsidR="008C1EBC">
        <w:rPr>
          <w:sz w:val="24"/>
          <w:szCs w:val="24"/>
        </w:rPr>
        <w:t>l’adoption de la nouvelle Constitution</w:t>
      </w:r>
      <w:r w:rsidR="00843D61">
        <w:rPr>
          <w:sz w:val="24"/>
          <w:szCs w:val="24"/>
        </w:rPr>
        <w:t>.</w:t>
      </w:r>
      <w:bookmarkStart w:id="13" w:name="_Toc459307835"/>
      <w:r w:rsidR="00D6024C">
        <w:br w:type="page"/>
      </w:r>
    </w:p>
    <w:p w14:paraId="26CD221D" w14:textId="433B7719" w:rsidR="007B65DE" w:rsidRPr="007920A9" w:rsidRDefault="008B3687" w:rsidP="00026C12">
      <w:pPr>
        <w:pStyle w:val="Titre1"/>
        <w:jc w:val="both"/>
        <w:rPr>
          <w:rFonts w:asciiTheme="minorHAnsi" w:hAnsiTheme="minorHAnsi"/>
          <w:color w:val="548DD4" w:themeColor="text2" w:themeTint="99"/>
        </w:rPr>
      </w:pPr>
      <w:bookmarkStart w:id="14" w:name="_Toc496544776"/>
      <w:r w:rsidRPr="007920A9">
        <w:lastRenderedPageBreak/>
        <w:t>Leadership</w:t>
      </w:r>
      <w:bookmarkEnd w:id="13"/>
      <w:bookmarkEnd w:id="14"/>
    </w:p>
    <w:p w14:paraId="26A27E97" w14:textId="77777777" w:rsidR="00FA1BB6" w:rsidRPr="007920A9" w:rsidRDefault="00FA1BB6" w:rsidP="00026C12">
      <w:pPr>
        <w:pStyle w:val="Default"/>
        <w:jc w:val="both"/>
        <w:rPr>
          <w:rFonts w:asciiTheme="minorHAnsi" w:hAnsiTheme="minorHAnsi"/>
          <w:lang w:val="fr-FR"/>
        </w:rPr>
      </w:pPr>
    </w:p>
    <w:p w14:paraId="42DF2858" w14:textId="6AEF4183" w:rsidR="00407963" w:rsidRPr="007920A9" w:rsidRDefault="00FA1BB6" w:rsidP="008F3747">
      <w:pPr>
        <w:pStyle w:val="Default"/>
        <w:numPr>
          <w:ilvl w:val="1"/>
          <w:numId w:val="1"/>
        </w:numPr>
        <w:jc w:val="both"/>
        <w:rPr>
          <w:rFonts w:asciiTheme="minorHAnsi" w:hAnsiTheme="minorHAnsi"/>
          <w:b/>
          <w:bCs/>
          <w:color w:val="404040"/>
          <w:lang w:val="fr-FR"/>
        </w:rPr>
      </w:pPr>
      <w:r w:rsidRPr="007920A9">
        <w:rPr>
          <w:rFonts w:asciiTheme="minorHAnsi" w:hAnsiTheme="minorHAnsi"/>
          <w:b/>
          <w:lang w:val="fr-FR"/>
        </w:rPr>
        <w:t>Existe-t-il une volonté politique visible pour l’ouverture des données publiques, la transparence de l’État et l’accès à l’information? (Importance : très élevée)</w:t>
      </w:r>
      <w:r w:rsidRPr="007920A9">
        <w:rPr>
          <w:lang w:val="fr-FR"/>
        </w:rPr>
        <w:t xml:space="preserve"> </w:t>
      </w:r>
      <w:r w:rsidR="00407963" w:rsidRPr="007920A9">
        <w:rPr>
          <w:rFonts w:asciiTheme="minorHAnsi" w:hAnsiTheme="minorHAnsi"/>
          <w:b/>
          <w:bCs/>
          <w:color w:val="404040"/>
          <w:lang w:val="fr-FR"/>
        </w:rPr>
        <w:t xml:space="preserve"> </w:t>
      </w:r>
      <w:r w:rsidR="005D4B21" w:rsidRPr="00563E19">
        <w:rPr>
          <w:rFonts w:asciiTheme="minorHAnsi" w:hAnsiTheme="minorHAnsi"/>
          <w:b/>
          <w:bCs/>
          <w:color w:val="404040"/>
          <w:highlight w:val="yellow"/>
          <w:lang w:val="fr-FR"/>
        </w:rPr>
        <w:t>JAUNE</w:t>
      </w:r>
      <w:r w:rsidR="005D4B21">
        <w:rPr>
          <w:rFonts w:asciiTheme="minorHAnsi" w:hAnsiTheme="minorHAnsi"/>
          <w:b/>
          <w:bCs/>
          <w:color w:val="404040"/>
          <w:lang w:val="fr-FR"/>
        </w:rPr>
        <w:t>/</w:t>
      </w:r>
      <w:r w:rsidR="00B7216F" w:rsidRPr="00A25098">
        <w:rPr>
          <w:rFonts w:asciiTheme="minorHAnsi" w:hAnsiTheme="minorHAnsi"/>
          <w:b/>
          <w:bCs/>
          <w:color w:val="404040"/>
          <w:highlight w:val="green"/>
          <w:lang w:val="fr-FR"/>
        </w:rPr>
        <w:t>VERT</w:t>
      </w:r>
    </w:p>
    <w:p w14:paraId="061B885F" w14:textId="77777777" w:rsidR="00FA1BB6" w:rsidRPr="007920A9" w:rsidRDefault="00FA1BB6" w:rsidP="00026C12">
      <w:pPr>
        <w:pStyle w:val="Sansinterligne"/>
        <w:jc w:val="both"/>
        <w:rPr>
          <w:sz w:val="24"/>
          <w:szCs w:val="24"/>
        </w:rPr>
      </w:pPr>
    </w:p>
    <w:p w14:paraId="49FEA6D6" w14:textId="61B24005" w:rsidR="00B7216F" w:rsidRPr="007D0056" w:rsidRDefault="008B3687" w:rsidP="007D0056">
      <w:pPr>
        <w:spacing w:after="0"/>
        <w:ind w:left="708" w:hanging="348"/>
        <w:jc w:val="both"/>
        <w:rPr>
          <w:rFonts w:cs="Arial"/>
          <w:bCs/>
          <w:color w:val="404040"/>
          <w:sz w:val="24"/>
          <w:szCs w:val="24"/>
        </w:rPr>
      </w:pPr>
      <w:r w:rsidRPr="007920A9">
        <w:rPr>
          <w:rFonts w:cs="Arial"/>
          <w:bCs/>
          <w:color w:val="404040"/>
          <w:sz w:val="24"/>
          <w:szCs w:val="24"/>
        </w:rPr>
        <w:t>+</w:t>
      </w:r>
      <w:r w:rsidRPr="007920A9">
        <w:rPr>
          <w:rFonts w:cs="Arial"/>
          <w:bCs/>
          <w:color w:val="404040"/>
          <w:sz w:val="24"/>
          <w:szCs w:val="24"/>
        </w:rPr>
        <w:tab/>
      </w:r>
      <w:r w:rsidR="007E7AA5" w:rsidRPr="007D0056">
        <w:rPr>
          <w:rFonts w:cs="Arial"/>
          <w:bCs/>
          <w:color w:val="404040"/>
          <w:sz w:val="24"/>
          <w:szCs w:val="24"/>
        </w:rPr>
        <w:t xml:space="preserve">Depuis la révolution populaire de Janvier 2011, l’ensemble des gouvernements successifs ont mis l’accent sur la transparence de gouvernance, la lutte contre la corruption et l’engagement citoyen. Cette volonté politique s’est </w:t>
      </w:r>
      <w:r w:rsidR="006B5D45" w:rsidRPr="007D0056">
        <w:rPr>
          <w:rFonts w:cs="Arial"/>
          <w:bCs/>
          <w:color w:val="404040"/>
          <w:sz w:val="24"/>
          <w:szCs w:val="24"/>
        </w:rPr>
        <w:t>traduite</w:t>
      </w:r>
      <w:r w:rsidR="007E7AA5" w:rsidRPr="007D0056">
        <w:rPr>
          <w:rFonts w:cs="Arial"/>
          <w:bCs/>
          <w:color w:val="404040"/>
          <w:sz w:val="24"/>
          <w:szCs w:val="24"/>
        </w:rPr>
        <w:t xml:space="preserve"> par la mise en place </w:t>
      </w:r>
      <w:r w:rsidR="007E7AA5" w:rsidRPr="008A2E32">
        <w:rPr>
          <w:rFonts w:cs="Arial"/>
          <w:bCs/>
          <w:sz w:val="24"/>
          <w:szCs w:val="24"/>
        </w:rPr>
        <w:t xml:space="preserve">de deux </w:t>
      </w:r>
      <w:r w:rsidR="008A2E32" w:rsidRPr="008A2E32">
        <w:rPr>
          <w:rFonts w:cs="Arial"/>
          <w:bCs/>
          <w:sz w:val="24"/>
          <w:szCs w:val="24"/>
        </w:rPr>
        <w:t>décrets-lois</w:t>
      </w:r>
      <w:r w:rsidR="007E7AA5" w:rsidRPr="008A2E32">
        <w:rPr>
          <w:rFonts w:cs="Arial"/>
          <w:bCs/>
          <w:sz w:val="24"/>
          <w:szCs w:val="24"/>
        </w:rPr>
        <w:t xml:space="preserve"> sur le droit d’accès à l’information et le droit d’accès aux documents administratifs en 2011</w:t>
      </w:r>
      <w:r w:rsidR="009E42EF" w:rsidRPr="008A2E32">
        <w:rPr>
          <w:rStyle w:val="Appelnotedebasdep"/>
          <w:rFonts w:cs="Arial"/>
          <w:bCs/>
          <w:sz w:val="24"/>
          <w:szCs w:val="24"/>
        </w:rPr>
        <w:footnoteReference w:id="22"/>
      </w:r>
      <w:r w:rsidR="007E7AA5" w:rsidRPr="008A2E32">
        <w:rPr>
          <w:rFonts w:cs="Arial"/>
          <w:bCs/>
          <w:sz w:val="24"/>
          <w:szCs w:val="24"/>
        </w:rPr>
        <w:t xml:space="preserve"> </w:t>
      </w:r>
      <w:r w:rsidR="007E7AA5" w:rsidRPr="007D0056">
        <w:rPr>
          <w:rFonts w:cs="Arial"/>
          <w:bCs/>
          <w:color w:val="404040"/>
          <w:sz w:val="24"/>
          <w:szCs w:val="24"/>
        </w:rPr>
        <w:t>qui ont ensuite été améliorés et remplacés en 2016 par la Loi organique n° 2016-22 du 24 mars 2016, relative au droit d’accès à l’information qui est reconnu d’excellente qualité par les experts</w:t>
      </w:r>
      <w:r w:rsidR="00DC70D7" w:rsidRPr="007D0056">
        <w:rPr>
          <w:rFonts w:cs="Arial"/>
          <w:bCs/>
          <w:color w:val="404040"/>
          <w:sz w:val="24"/>
          <w:szCs w:val="24"/>
        </w:rPr>
        <w:t xml:space="preserve"> et </w:t>
      </w:r>
      <w:r w:rsidR="007D0056">
        <w:rPr>
          <w:rFonts w:cs="Arial"/>
          <w:bCs/>
          <w:color w:val="404040"/>
          <w:sz w:val="24"/>
          <w:szCs w:val="24"/>
        </w:rPr>
        <w:t xml:space="preserve">classée </w:t>
      </w:r>
      <w:r w:rsidR="00DC70D7" w:rsidRPr="007D0056">
        <w:rPr>
          <w:rFonts w:cs="Arial"/>
          <w:bCs/>
          <w:color w:val="404040"/>
          <w:sz w:val="24"/>
          <w:szCs w:val="24"/>
        </w:rPr>
        <w:t>10ème</w:t>
      </w:r>
      <w:r w:rsidR="007D0056">
        <w:rPr>
          <w:rFonts w:cs="Arial"/>
          <w:bCs/>
          <w:color w:val="404040"/>
          <w:sz w:val="24"/>
          <w:szCs w:val="24"/>
        </w:rPr>
        <w:t xml:space="preserve"> au niveau mondial par </w:t>
      </w:r>
      <w:r w:rsidR="007D0056" w:rsidRPr="007D0056">
        <w:rPr>
          <w:rFonts w:cs="Arial"/>
          <w:bCs/>
          <w:color w:val="404040"/>
          <w:sz w:val="24"/>
          <w:szCs w:val="24"/>
        </w:rPr>
        <w:t>RT</w:t>
      </w:r>
      <w:r w:rsidR="00A25098">
        <w:rPr>
          <w:rFonts w:cs="Arial"/>
          <w:bCs/>
          <w:color w:val="404040"/>
          <w:sz w:val="24"/>
          <w:szCs w:val="24"/>
        </w:rPr>
        <w:t>I</w:t>
      </w:r>
      <w:r w:rsidR="007D0056" w:rsidRPr="007D0056">
        <w:rPr>
          <w:rFonts w:cs="Arial"/>
          <w:bCs/>
          <w:color w:val="404040"/>
          <w:sz w:val="24"/>
          <w:szCs w:val="24"/>
        </w:rPr>
        <w:t>-Rating</w:t>
      </w:r>
      <w:r w:rsidR="007D0056">
        <w:rPr>
          <w:rStyle w:val="Appelnotedebasdep"/>
          <w:rFonts w:cs="Arial"/>
          <w:bCs/>
          <w:color w:val="404040"/>
          <w:sz w:val="24"/>
          <w:szCs w:val="24"/>
        </w:rPr>
        <w:footnoteReference w:id="23"/>
      </w:r>
    </w:p>
    <w:p w14:paraId="55C8EE2E" w14:textId="0359CFC5" w:rsidR="007E7AA5" w:rsidRPr="007920A9" w:rsidRDefault="00F3414F" w:rsidP="007E7AA5">
      <w:pPr>
        <w:spacing w:after="0"/>
        <w:ind w:left="708" w:hanging="348"/>
        <w:jc w:val="both"/>
        <w:rPr>
          <w:rFonts w:cs="Arial"/>
          <w:bCs/>
          <w:color w:val="404040"/>
          <w:sz w:val="24"/>
          <w:szCs w:val="24"/>
        </w:rPr>
      </w:pPr>
      <w:r w:rsidRPr="007920A9">
        <w:rPr>
          <w:rFonts w:cs="Arial"/>
          <w:bCs/>
          <w:color w:val="404040"/>
          <w:sz w:val="24"/>
          <w:szCs w:val="24"/>
        </w:rPr>
        <w:t>+</w:t>
      </w:r>
      <w:r w:rsidRPr="007920A9">
        <w:rPr>
          <w:rFonts w:cs="Arial"/>
          <w:bCs/>
          <w:color w:val="404040"/>
          <w:sz w:val="24"/>
          <w:szCs w:val="24"/>
        </w:rPr>
        <w:tab/>
        <w:t>La transparence de gouvernance et l’ouverture des données publiques sont le cœur du plan Tunisie SmartGov 2020</w:t>
      </w:r>
      <w:r w:rsidRPr="007920A9">
        <w:rPr>
          <w:rStyle w:val="Appelnotedebasdep"/>
          <w:rFonts w:cs="Arial"/>
          <w:bCs/>
          <w:color w:val="404040"/>
          <w:sz w:val="24"/>
          <w:szCs w:val="24"/>
        </w:rPr>
        <w:footnoteReference w:id="24"/>
      </w:r>
    </w:p>
    <w:p w14:paraId="558FB051" w14:textId="7528B871" w:rsidR="00F3414F" w:rsidRDefault="00F3414F" w:rsidP="007E7AA5">
      <w:pPr>
        <w:spacing w:after="0"/>
        <w:ind w:left="708" w:hanging="348"/>
        <w:jc w:val="both"/>
        <w:rPr>
          <w:rFonts w:cs="Arial"/>
          <w:bCs/>
          <w:color w:val="404040"/>
          <w:sz w:val="24"/>
          <w:szCs w:val="24"/>
        </w:rPr>
      </w:pPr>
      <w:r w:rsidRPr="007920A9">
        <w:rPr>
          <w:rFonts w:cs="Arial"/>
          <w:bCs/>
          <w:color w:val="404040"/>
          <w:sz w:val="24"/>
          <w:szCs w:val="24"/>
        </w:rPr>
        <w:t>+</w:t>
      </w:r>
      <w:r w:rsidRPr="007920A9">
        <w:rPr>
          <w:rFonts w:cs="Arial"/>
          <w:bCs/>
          <w:color w:val="404040"/>
          <w:sz w:val="24"/>
          <w:szCs w:val="24"/>
        </w:rPr>
        <w:tab/>
        <w:t xml:space="preserve">La Tunisie a </w:t>
      </w:r>
      <w:r w:rsidR="00A40A7D" w:rsidRPr="007920A9">
        <w:rPr>
          <w:rFonts w:cs="Arial"/>
          <w:bCs/>
          <w:color w:val="404040"/>
          <w:sz w:val="24"/>
          <w:szCs w:val="24"/>
        </w:rPr>
        <w:t>adhéré</w:t>
      </w:r>
      <w:r w:rsidRPr="007920A9">
        <w:rPr>
          <w:rFonts w:cs="Arial"/>
          <w:bCs/>
          <w:color w:val="404040"/>
          <w:sz w:val="24"/>
          <w:szCs w:val="24"/>
        </w:rPr>
        <w:t xml:space="preserve"> au Partenariat pour un Gouvernement Ouvert (PGO</w:t>
      </w:r>
      <w:r w:rsidRPr="007920A9">
        <w:rPr>
          <w:rStyle w:val="Appelnotedebasdep"/>
          <w:rFonts w:cs="Arial"/>
          <w:bCs/>
          <w:color w:val="404040"/>
          <w:sz w:val="24"/>
          <w:szCs w:val="24"/>
        </w:rPr>
        <w:footnoteReference w:id="25"/>
      </w:r>
      <w:r w:rsidRPr="007920A9">
        <w:rPr>
          <w:rFonts w:cs="Arial"/>
          <w:bCs/>
          <w:color w:val="404040"/>
          <w:sz w:val="24"/>
          <w:szCs w:val="24"/>
        </w:rPr>
        <w:t>) en Janvier 2014, et est en cours d’implémentation de son deuxième plan d’action</w:t>
      </w:r>
    </w:p>
    <w:p w14:paraId="3638CE5F" w14:textId="4490A821" w:rsidR="005D4B21" w:rsidRDefault="005D4B21" w:rsidP="007E7AA5">
      <w:pPr>
        <w:spacing w:after="0"/>
        <w:ind w:left="708" w:hanging="348"/>
        <w:jc w:val="both"/>
        <w:rPr>
          <w:rFonts w:cs="Arial"/>
          <w:bCs/>
          <w:color w:val="404040"/>
          <w:sz w:val="24"/>
          <w:szCs w:val="24"/>
        </w:rPr>
      </w:pPr>
      <w:r>
        <w:rPr>
          <w:rFonts w:cs="Arial"/>
          <w:bCs/>
          <w:color w:val="404040"/>
          <w:sz w:val="24"/>
          <w:szCs w:val="24"/>
        </w:rPr>
        <w:t>+</w:t>
      </w:r>
      <w:r>
        <w:rPr>
          <w:rFonts w:cs="Arial"/>
          <w:bCs/>
          <w:color w:val="404040"/>
          <w:sz w:val="24"/>
          <w:szCs w:val="24"/>
        </w:rPr>
        <w:tab/>
        <w:t>L’ensemble des ministères en charge d’engagements dans le plan PGO sont tous impliqués fortement dans la réalisation de ces objectifs.</w:t>
      </w:r>
    </w:p>
    <w:p w14:paraId="7C8EC058" w14:textId="69011C31" w:rsidR="005D4B21" w:rsidRDefault="005D4B21" w:rsidP="00D5699E">
      <w:pPr>
        <w:pStyle w:val="Paragraphedeliste"/>
        <w:numPr>
          <w:ilvl w:val="0"/>
          <w:numId w:val="54"/>
        </w:numPr>
        <w:spacing w:after="0"/>
        <w:jc w:val="both"/>
        <w:rPr>
          <w:rFonts w:cs="Arial"/>
          <w:bCs/>
          <w:color w:val="404040"/>
          <w:sz w:val="24"/>
          <w:szCs w:val="24"/>
        </w:rPr>
      </w:pPr>
      <w:r>
        <w:rPr>
          <w:rFonts w:cs="Arial"/>
          <w:bCs/>
          <w:color w:val="404040"/>
          <w:sz w:val="24"/>
          <w:szCs w:val="24"/>
        </w:rPr>
        <w:t xml:space="preserve">Malgré la </w:t>
      </w:r>
      <w:r w:rsidR="00521C16">
        <w:rPr>
          <w:rFonts w:cs="Arial"/>
          <w:bCs/>
          <w:color w:val="404040"/>
          <w:sz w:val="24"/>
          <w:szCs w:val="24"/>
        </w:rPr>
        <w:t>gestion</w:t>
      </w:r>
      <w:r>
        <w:rPr>
          <w:rFonts w:cs="Arial"/>
          <w:bCs/>
          <w:color w:val="404040"/>
          <w:sz w:val="24"/>
          <w:szCs w:val="24"/>
        </w:rPr>
        <w:t xml:space="preserve"> du plan PGO par l’UAE au s</w:t>
      </w:r>
      <w:r w:rsidR="00521C16">
        <w:rPr>
          <w:rFonts w:cs="Arial"/>
          <w:bCs/>
          <w:color w:val="404040"/>
          <w:sz w:val="24"/>
          <w:szCs w:val="24"/>
        </w:rPr>
        <w:t>e</w:t>
      </w:r>
      <w:r>
        <w:rPr>
          <w:rFonts w:cs="Arial"/>
          <w:bCs/>
          <w:color w:val="404040"/>
          <w:sz w:val="24"/>
          <w:szCs w:val="24"/>
        </w:rPr>
        <w:t>in de la</w:t>
      </w:r>
      <w:r w:rsidR="00DD0A3F">
        <w:rPr>
          <w:rFonts w:cs="Arial"/>
          <w:bCs/>
          <w:color w:val="404040"/>
          <w:sz w:val="24"/>
          <w:szCs w:val="24"/>
        </w:rPr>
        <w:t xml:space="preserve"> Présidence du Gouvernement (</w:t>
      </w:r>
      <w:r>
        <w:rPr>
          <w:rFonts w:cs="Arial"/>
          <w:bCs/>
          <w:color w:val="404040"/>
          <w:sz w:val="24"/>
          <w:szCs w:val="24"/>
        </w:rPr>
        <w:t>PG</w:t>
      </w:r>
      <w:r w:rsidR="00DD0A3F">
        <w:rPr>
          <w:rFonts w:cs="Arial"/>
          <w:bCs/>
          <w:color w:val="404040"/>
          <w:sz w:val="24"/>
          <w:szCs w:val="24"/>
        </w:rPr>
        <w:t>)</w:t>
      </w:r>
      <w:r w:rsidR="00521C16">
        <w:rPr>
          <w:rFonts w:cs="Arial"/>
          <w:bCs/>
          <w:color w:val="404040"/>
          <w:sz w:val="24"/>
          <w:szCs w:val="24"/>
        </w:rPr>
        <w:t>, le plan d’action n’a pas officiellement été endossé par le Chef du Gouvernement</w:t>
      </w:r>
    </w:p>
    <w:p w14:paraId="26A57C5B" w14:textId="06401E65" w:rsidR="00521C16" w:rsidRPr="005D4B21" w:rsidRDefault="00521C16" w:rsidP="00D5699E">
      <w:pPr>
        <w:pStyle w:val="Paragraphedeliste"/>
        <w:numPr>
          <w:ilvl w:val="0"/>
          <w:numId w:val="54"/>
        </w:numPr>
        <w:spacing w:after="0"/>
        <w:jc w:val="both"/>
        <w:rPr>
          <w:rFonts w:cs="Arial"/>
          <w:bCs/>
          <w:color w:val="404040"/>
          <w:sz w:val="24"/>
          <w:szCs w:val="24"/>
        </w:rPr>
      </w:pPr>
      <w:r>
        <w:rPr>
          <w:rFonts w:cs="Arial"/>
          <w:bCs/>
          <w:color w:val="404040"/>
          <w:sz w:val="24"/>
          <w:szCs w:val="24"/>
        </w:rPr>
        <w:t xml:space="preserve">Plusieurs ministères lors de la visite de terrain ont </w:t>
      </w:r>
      <w:r w:rsidR="006B5D45">
        <w:rPr>
          <w:rFonts w:cs="Arial"/>
          <w:bCs/>
          <w:color w:val="404040"/>
          <w:sz w:val="24"/>
          <w:szCs w:val="24"/>
        </w:rPr>
        <w:t>mentionné</w:t>
      </w:r>
      <w:r>
        <w:rPr>
          <w:rFonts w:cs="Arial"/>
          <w:bCs/>
          <w:color w:val="404040"/>
          <w:sz w:val="24"/>
          <w:szCs w:val="24"/>
        </w:rPr>
        <w:t xml:space="preserve"> que l’ouverture des </w:t>
      </w:r>
      <w:r w:rsidR="009352D9">
        <w:rPr>
          <w:rFonts w:cs="Arial"/>
          <w:bCs/>
          <w:color w:val="404040"/>
          <w:sz w:val="24"/>
          <w:szCs w:val="24"/>
        </w:rPr>
        <w:t xml:space="preserve">données </w:t>
      </w:r>
      <w:r w:rsidR="00E47607">
        <w:rPr>
          <w:rFonts w:cs="Arial"/>
          <w:bCs/>
          <w:color w:val="404040"/>
          <w:sz w:val="24"/>
          <w:szCs w:val="24"/>
        </w:rPr>
        <w:t xml:space="preserve">gouvernementales </w:t>
      </w:r>
      <w:r>
        <w:rPr>
          <w:rFonts w:cs="Arial"/>
          <w:bCs/>
          <w:color w:val="404040"/>
          <w:sz w:val="24"/>
          <w:szCs w:val="24"/>
        </w:rPr>
        <w:t xml:space="preserve">et les activités connexes </w:t>
      </w:r>
      <w:r w:rsidR="007D35D3">
        <w:rPr>
          <w:rFonts w:cs="Arial"/>
          <w:bCs/>
          <w:color w:val="404040"/>
          <w:sz w:val="24"/>
          <w:szCs w:val="24"/>
        </w:rPr>
        <w:t xml:space="preserve">est </w:t>
      </w:r>
      <w:r>
        <w:rPr>
          <w:rFonts w:cs="Arial"/>
          <w:bCs/>
          <w:color w:val="404040"/>
          <w:sz w:val="24"/>
          <w:szCs w:val="24"/>
        </w:rPr>
        <w:t>largement impacté</w:t>
      </w:r>
      <w:r w:rsidR="007D35D3">
        <w:rPr>
          <w:rFonts w:cs="Arial"/>
          <w:bCs/>
          <w:color w:val="404040"/>
          <w:sz w:val="24"/>
          <w:szCs w:val="24"/>
        </w:rPr>
        <w:t>e</w:t>
      </w:r>
      <w:r>
        <w:rPr>
          <w:rFonts w:cs="Arial"/>
          <w:bCs/>
          <w:color w:val="404040"/>
          <w:sz w:val="24"/>
          <w:szCs w:val="24"/>
        </w:rPr>
        <w:t xml:space="preserve"> par la personnalité du Ministre lui-même et le changement de ministre peut avoir un impact fort (arrêt ou démarrage d’initiatives). D’après certains interlocuteurs, cet aspect est dû au manque d’engagement au plus haut niveau de l’état (</w:t>
      </w:r>
      <w:r w:rsidR="009E42EF">
        <w:rPr>
          <w:rFonts w:cs="Arial"/>
          <w:bCs/>
          <w:color w:val="404040"/>
          <w:sz w:val="24"/>
          <w:szCs w:val="24"/>
        </w:rPr>
        <w:t>Chef du Gouvernement</w:t>
      </w:r>
      <w:r>
        <w:rPr>
          <w:rFonts w:cs="Arial"/>
          <w:bCs/>
          <w:color w:val="404040"/>
          <w:sz w:val="24"/>
          <w:szCs w:val="24"/>
        </w:rPr>
        <w:t>, Président</w:t>
      </w:r>
      <w:r w:rsidR="009E42EF">
        <w:rPr>
          <w:rFonts w:cs="Arial"/>
          <w:bCs/>
          <w:color w:val="404040"/>
          <w:sz w:val="24"/>
          <w:szCs w:val="24"/>
        </w:rPr>
        <w:t xml:space="preserve"> de la République</w:t>
      </w:r>
      <w:r>
        <w:rPr>
          <w:rFonts w:cs="Arial"/>
          <w:bCs/>
          <w:color w:val="404040"/>
          <w:sz w:val="24"/>
          <w:szCs w:val="24"/>
        </w:rPr>
        <w:t>). Cette analyse est aussi partagée par les organisations de la Société Civile rencontrées.</w:t>
      </w:r>
    </w:p>
    <w:p w14:paraId="46017504" w14:textId="3CB6C99D" w:rsidR="00F3414F" w:rsidRPr="007920A9" w:rsidRDefault="00F3414F" w:rsidP="007E7AA5">
      <w:pPr>
        <w:spacing w:after="0"/>
        <w:ind w:left="708" w:hanging="348"/>
        <w:jc w:val="both"/>
        <w:rPr>
          <w:rFonts w:cs="Arial"/>
          <w:bCs/>
          <w:color w:val="404040"/>
          <w:sz w:val="24"/>
          <w:szCs w:val="24"/>
        </w:rPr>
      </w:pPr>
      <w:r w:rsidRPr="007920A9">
        <w:rPr>
          <w:rFonts w:cs="Arial"/>
          <w:bCs/>
          <w:color w:val="404040"/>
          <w:sz w:val="24"/>
          <w:szCs w:val="24"/>
        </w:rPr>
        <w:t>+</w:t>
      </w:r>
      <w:r w:rsidRPr="007920A9">
        <w:rPr>
          <w:rFonts w:cs="Arial"/>
          <w:bCs/>
          <w:color w:val="404040"/>
          <w:sz w:val="24"/>
          <w:szCs w:val="24"/>
        </w:rPr>
        <w:tab/>
        <w:t xml:space="preserve">La Tunisie a </w:t>
      </w:r>
      <w:r w:rsidR="005761D2">
        <w:rPr>
          <w:rFonts w:cs="Arial"/>
          <w:bCs/>
          <w:color w:val="404040"/>
          <w:sz w:val="24"/>
          <w:szCs w:val="24"/>
        </w:rPr>
        <w:t>exprimé sa volonté d’</w:t>
      </w:r>
      <w:r w:rsidRPr="007920A9">
        <w:rPr>
          <w:rFonts w:cs="Arial"/>
          <w:bCs/>
          <w:color w:val="404040"/>
          <w:sz w:val="24"/>
          <w:szCs w:val="24"/>
        </w:rPr>
        <w:t>adhér</w:t>
      </w:r>
      <w:r w:rsidR="005761D2">
        <w:rPr>
          <w:rFonts w:cs="Arial"/>
          <w:bCs/>
          <w:color w:val="404040"/>
          <w:sz w:val="24"/>
          <w:szCs w:val="24"/>
        </w:rPr>
        <w:t>er</w:t>
      </w:r>
      <w:r w:rsidRPr="007920A9">
        <w:rPr>
          <w:rFonts w:cs="Arial"/>
          <w:bCs/>
          <w:color w:val="404040"/>
          <w:sz w:val="24"/>
          <w:szCs w:val="24"/>
        </w:rPr>
        <w:t xml:space="preserve"> à l’initiative de transparence des industries extractives (ITIE/EITI</w:t>
      </w:r>
      <w:r w:rsidRPr="007920A9">
        <w:rPr>
          <w:rStyle w:val="Appelnotedebasdep"/>
          <w:rFonts w:cs="Arial"/>
          <w:bCs/>
          <w:color w:val="404040"/>
          <w:sz w:val="24"/>
          <w:szCs w:val="24"/>
        </w:rPr>
        <w:footnoteReference w:id="26"/>
      </w:r>
      <w:r w:rsidRPr="007920A9">
        <w:rPr>
          <w:rFonts w:cs="Arial"/>
          <w:bCs/>
          <w:color w:val="404040"/>
          <w:sz w:val="24"/>
          <w:szCs w:val="24"/>
        </w:rPr>
        <w:t>) en Janvier 2012</w:t>
      </w:r>
      <w:r w:rsidR="005761D2">
        <w:rPr>
          <w:rFonts w:cs="Arial"/>
          <w:bCs/>
          <w:color w:val="404040"/>
          <w:sz w:val="24"/>
          <w:szCs w:val="24"/>
        </w:rPr>
        <w:t xml:space="preserve"> et travaille depuis à l’implémentation des standards requis.</w:t>
      </w:r>
    </w:p>
    <w:p w14:paraId="672F2D7A" w14:textId="575BE92C" w:rsidR="00F3414F" w:rsidRPr="007920A9" w:rsidRDefault="00A40A7D" w:rsidP="007E7AA5">
      <w:pPr>
        <w:spacing w:after="0"/>
        <w:ind w:left="708" w:hanging="348"/>
        <w:jc w:val="both"/>
        <w:rPr>
          <w:rFonts w:cs="Arial"/>
          <w:bCs/>
          <w:sz w:val="24"/>
          <w:szCs w:val="24"/>
        </w:rPr>
      </w:pPr>
      <w:r w:rsidRPr="007920A9">
        <w:rPr>
          <w:rFonts w:cs="Arial"/>
          <w:bCs/>
          <w:color w:val="404040"/>
          <w:sz w:val="24"/>
          <w:szCs w:val="24"/>
        </w:rPr>
        <w:lastRenderedPageBreak/>
        <w:t>+</w:t>
      </w:r>
      <w:r w:rsidRPr="007920A9">
        <w:rPr>
          <w:rFonts w:cs="Arial"/>
          <w:bCs/>
          <w:color w:val="404040"/>
          <w:sz w:val="24"/>
          <w:szCs w:val="24"/>
        </w:rPr>
        <w:tab/>
        <w:t>La Tunisie participe</w:t>
      </w:r>
      <w:r w:rsidR="00F3414F" w:rsidRPr="007920A9">
        <w:rPr>
          <w:rFonts w:cs="Arial"/>
          <w:bCs/>
          <w:color w:val="404040"/>
          <w:sz w:val="24"/>
          <w:szCs w:val="24"/>
        </w:rPr>
        <w:t xml:space="preserve"> à l’initiative BOOST de transparence des données budgétaires de la Banque Mondiale</w:t>
      </w:r>
      <w:r w:rsidR="00F3414F" w:rsidRPr="007920A9">
        <w:rPr>
          <w:rStyle w:val="Appelnotedebasdep"/>
          <w:rFonts w:cs="Arial"/>
          <w:bCs/>
          <w:color w:val="404040"/>
          <w:sz w:val="24"/>
          <w:szCs w:val="24"/>
        </w:rPr>
        <w:footnoteReference w:id="27"/>
      </w:r>
      <w:r w:rsidRPr="007920A9">
        <w:rPr>
          <w:rFonts w:cs="Arial"/>
          <w:bCs/>
          <w:color w:val="404040"/>
          <w:sz w:val="24"/>
          <w:szCs w:val="24"/>
        </w:rPr>
        <w:t xml:space="preserve"> et publie toutes ses données budgétaires depuis 2008</w:t>
      </w:r>
      <w:r w:rsidR="00F3414F" w:rsidRPr="007920A9">
        <w:rPr>
          <w:rFonts w:cs="Arial"/>
          <w:bCs/>
          <w:color w:val="404040"/>
          <w:sz w:val="24"/>
          <w:szCs w:val="24"/>
        </w:rPr>
        <w:t xml:space="preserve"> </w:t>
      </w:r>
    </w:p>
    <w:p w14:paraId="4953372F" w14:textId="77777777" w:rsidR="00FA1BB6" w:rsidRPr="007920A9" w:rsidRDefault="00FA1BB6" w:rsidP="00026C12">
      <w:pPr>
        <w:pStyle w:val="Default"/>
        <w:jc w:val="both"/>
        <w:rPr>
          <w:rFonts w:asciiTheme="minorHAnsi" w:hAnsiTheme="minorHAnsi"/>
          <w:lang w:val="fr-FR"/>
        </w:rPr>
      </w:pPr>
    </w:p>
    <w:p w14:paraId="1878DEF1" w14:textId="42B6C737" w:rsidR="008B3687" w:rsidRPr="007920A9" w:rsidRDefault="00FA1BB6" w:rsidP="008F3747">
      <w:pPr>
        <w:pStyle w:val="Default"/>
        <w:numPr>
          <w:ilvl w:val="1"/>
          <w:numId w:val="1"/>
        </w:numPr>
        <w:jc w:val="both"/>
        <w:rPr>
          <w:rFonts w:asciiTheme="minorHAnsi" w:hAnsiTheme="minorHAnsi"/>
          <w:b/>
          <w:bCs/>
          <w:color w:val="404040"/>
          <w:lang w:val="fr-FR"/>
        </w:rPr>
      </w:pPr>
      <w:r w:rsidRPr="007920A9">
        <w:rPr>
          <w:rFonts w:asciiTheme="minorHAnsi" w:hAnsiTheme="minorHAnsi"/>
          <w:b/>
          <w:bCs/>
          <w:color w:val="404040"/>
          <w:lang w:val="fr-FR"/>
        </w:rPr>
        <w:t xml:space="preserve">Existe-t-il une structure politique établie pour la mise en </w:t>
      </w:r>
      <w:r w:rsidR="008B3687" w:rsidRPr="007920A9">
        <w:rPr>
          <w:rFonts w:asciiTheme="minorHAnsi" w:hAnsiTheme="minorHAnsi"/>
          <w:b/>
          <w:bCs/>
          <w:color w:val="404040"/>
          <w:lang w:val="fr-FR"/>
        </w:rPr>
        <w:t>œuvre</w:t>
      </w:r>
      <w:r w:rsidRPr="007920A9">
        <w:rPr>
          <w:rFonts w:asciiTheme="minorHAnsi" w:hAnsiTheme="minorHAnsi"/>
          <w:b/>
          <w:bCs/>
          <w:color w:val="404040"/>
          <w:lang w:val="fr-FR"/>
        </w:rPr>
        <w:t xml:space="preserve"> règlementaire et l’implémentation des initiatives inter-gouvernementales? (Importance : Élevée) </w:t>
      </w:r>
      <w:r w:rsidR="00B7216F" w:rsidRPr="007920A9">
        <w:rPr>
          <w:rFonts w:asciiTheme="minorHAnsi" w:hAnsiTheme="minorHAnsi"/>
          <w:b/>
          <w:bCs/>
          <w:color w:val="404040"/>
          <w:highlight w:val="green"/>
          <w:lang w:val="fr-FR"/>
        </w:rPr>
        <w:t>VERT</w:t>
      </w:r>
    </w:p>
    <w:p w14:paraId="700D875C" w14:textId="77777777" w:rsidR="00B7216F" w:rsidRPr="007920A9" w:rsidRDefault="00B7216F" w:rsidP="00026C12">
      <w:pPr>
        <w:pStyle w:val="Default"/>
        <w:jc w:val="both"/>
        <w:rPr>
          <w:rFonts w:asciiTheme="minorHAnsi" w:hAnsiTheme="minorHAnsi"/>
          <w:b/>
          <w:bCs/>
          <w:color w:val="404040"/>
          <w:lang w:val="fr-FR"/>
        </w:rPr>
      </w:pPr>
    </w:p>
    <w:p w14:paraId="2DF7091A" w14:textId="624D7B50" w:rsidR="00A40A7D" w:rsidRPr="007920A9" w:rsidRDefault="00B7216F" w:rsidP="008F3747">
      <w:pPr>
        <w:pStyle w:val="Default"/>
        <w:numPr>
          <w:ilvl w:val="0"/>
          <w:numId w:val="5"/>
        </w:numPr>
        <w:jc w:val="both"/>
        <w:rPr>
          <w:rFonts w:asciiTheme="minorHAnsi" w:hAnsiTheme="minorHAnsi"/>
          <w:b/>
          <w:bCs/>
          <w:color w:val="auto"/>
          <w:lang w:val="fr-FR"/>
        </w:rPr>
      </w:pPr>
      <w:r w:rsidRPr="007920A9">
        <w:rPr>
          <w:rFonts w:asciiTheme="minorHAnsi" w:hAnsiTheme="minorHAnsi"/>
          <w:bCs/>
          <w:color w:val="auto"/>
          <w:lang w:val="fr-FR"/>
        </w:rPr>
        <w:t>L</w:t>
      </w:r>
      <w:r w:rsidR="00A40A7D" w:rsidRPr="007920A9">
        <w:rPr>
          <w:rFonts w:asciiTheme="minorHAnsi" w:hAnsiTheme="minorHAnsi"/>
          <w:bCs/>
          <w:color w:val="auto"/>
          <w:lang w:val="fr-FR"/>
        </w:rPr>
        <w:t>a P</w:t>
      </w:r>
      <w:r w:rsidR="00521C16">
        <w:rPr>
          <w:rFonts w:asciiTheme="minorHAnsi" w:hAnsiTheme="minorHAnsi"/>
          <w:bCs/>
          <w:color w:val="auto"/>
          <w:lang w:val="fr-FR"/>
        </w:rPr>
        <w:t>G</w:t>
      </w:r>
      <w:r w:rsidR="00A40A7D" w:rsidRPr="007920A9">
        <w:rPr>
          <w:rFonts w:asciiTheme="minorHAnsi" w:hAnsiTheme="minorHAnsi"/>
          <w:bCs/>
          <w:color w:val="auto"/>
          <w:lang w:val="fr-FR"/>
        </w:rPr>
        <w:t xml:space="preserve"> est en charge de toutes les initiatives inter-gouvernementales.</w:t>
      </w:r>
    </w:p>
    <w:p w14:paraId="520EBD05" w14:textId="4B615D55" w:rsidR="00B7216F" w:rsidRPr="0068362E" w:rsidRDefault="00A40A7D" w:rsidP="008F3747">
      <w:pPr>
        <w:pStyle w:val="Default"/>
        <w:numPr>
          <w:ilvl w:val="0"/>
          <w:numId w:val="5"/>
        </w:numPr>
        <w:jc w:val="both"/>
        <w:rPr>
          <w:rFonts w:asciiTheme="minorHAnsi" w:hAnsiTheme="minorHAnsi"/>
          <w:b/>
          <w:bCs/>
          <w:color w:val="auto"/>
          <w:lang w:val="fr-FR"/>
        </w:rPr>
      </w:pPr>
      <w:r w:rsidRPr="007920A9">
        <w:rPr>
          <w:rFonts w:asciiTheme="minorHAnsi" w:hAnsiTheme="minorHAnsi"/>
          <w:bCs/>
          <w:color w:val="auto"/>
          <w:lang w:val="fr-FR"/>
        </w:rPr>
        <w:t>L’Unité de l’Administration Electronique (UAE), rattachée à la Présidence du Gouvernement, en charge notamment de l’initiative SmartGov2020</w:t>
      </w:r>
      <w:r w:rsidR="007F4A32">
        <w:rPr>
          <w:rFonts w:asciiTheme="minorHAnsi" w:hAnsiTheme="minorHAnsi"/>
          <w:bCs/>
          <w:color w:val="auto"/>
          <w:lang w:val="fr-FR"/>
        </w:rPr>
        <w:t>, du plan OGP,</w:t>
      </w:r>
      <w:r w:rsidRPr="007920A9">
        <w:rPr>
          <w:rFonts w:asciiTheme="minorHAnsi" w:hAnsiTheme="minorHAnsi"/>
          <w:bCs/>
          <w:color w:val="auto"/>
          <w:lang w:val="fr-FR"/>
        </w:rPr>
        <w:t xml:space="preserve"> ainsi que du portail </w:t>
      </w:r>
      <w:r w:rsidR="00E47607">
        <w:rPr>
          <w:rFonts w:asciiTheme="minorHAnsi" w:hAnsiTheme="minorHAnsi"/>
          <w:bCs/>
          <w:color w:val="auto"/>
          <w:lang w:val="fr-FR"/>
        </w:rPr>
        <w:t>national</w:t>
      </w:r>
      <w:r w:rsidR="00E47607" w:rsidRPr="007920A9">
        <w:rPr>
          <w:rFonts w:asciiTheme="minorHAnsi" w:hAnsiTheme="minorHAnsi"/>
          <w:bCs/>
          <w:color w:val="auto"/>
          <w:lang w:val="fr-FR"/>
        </w:rPr>
        <w:t xml:space="preserve"> </w:t>
      </w:r>
      <w:r w:rsidRPr="007920A9">
        <w:rPr>
          <w:rFonts w:asciiTheme="minorHAnsi" w:hAnsiTheme="minorHAnsi"/>
          <w:bCs/>
          <w:color w:val="auto"/>
          <w:lang w:val="fr-FR"/>
        </w:rPr>
        <w:t>Open Data</w:t>
      </w:r>
      <w:r w:rsidRPr="007920A9">
        <w:rPr>
          <w:rStyle w:val="Appelnotedebasdep"/>
          <w:rFonts w:asciiTheme="minorHAnsi" w:hAnsiTheme="minorHAnsi"/>
          <w:bCs/>
          <w:color w:val="auto"/>
          <w:lang w:val="fr-FR"/>
        </w:rPr>
        <w:footnoteReference w:id="28"/>
      </w:r>
      <w:r w:rsidR="005761D2">
        <w:rPr>
          <w:rFonts w:asciiTheme="minorHAnsi" w:hAnsiTheme="minorHAnsi"/>
          <w:bCs/>
          <w:color w:val="auto"/>
          <w:lang w:val="fr-FR"/>
        </w:rPr>
        <w:t>.</w:t>
      </w:r>
    </w:p>
    <w:p w14:paraId="73D41938" w14:textId="6A3EE112" w:rsidR="0068362E" w:rsidRPr="007F4A32" w:rsidRDefault="007F4A32" w:rsidP="007F4A32">
      <w:pPr>
        <w:pStyle w:val="Default"/>
        <w:numPr>
          <w:ilvl w:val="0"/>
          <w:numId w:val="5"/>
        </w:numPr>
        <w:jc w:val="both"/>
        <w:rPr>
          <w:rFonts w:asciiTheme="minorHAnsi" w:hAnsiTheme="minorHAnsi"/>
          <w:b/>
          <w:bCs/>
          <w:color w:val="auto"/>
          <w:lang w:val="fr-FR"/>
        </w:rPr>
      </w:pPr>
      <w:r>
        <w:rPr>
          <w:rFonts w:asciiTheme="minorHAnsi" w:hAnsiTheme="minorHAnsi"/>
          <w:bCs/>
          <w:color w:val="auto"/>
          <w:lang w:val="fr-FR"/>
        </w:rPr>
        <w:t xml:space="preserve">La </w:t>
      </w:r>
      <w:r w:rsidRPr="00521C16">
        <w:rPr>
          <w:rFonts w:asciiTheme="minorHAnsi" w:hAnsiTheme="minorHAnsi"/>
          <w:bCs/>
          <w:color w:val="auto"/>
          <w:lang w:val="fr-FR"/>
        </w:rPr>
        <w:t>Direction Générale des Reformes et Prospectives Administratives</w:t>
      </w:r>
      <w:r>
        <w:rPr>
          <w:rFonts w:asciiTheme="minorHAnsi" w:hAnsiTheme="minorHAnsi"/>
          <w:bCs/>
          <w:color w:val="auto"/>
          <w:lang w:val="fr-FR"/>
        </w:rPr>
        <w:t xml:space="preserve"> (DGRPA) rattachée à la PG est en charge des initiatives réglementaires inter-gouvernementale</w:t>
      </w:r>
      <w:r w:rsidR="0068362E" w:rsidRPr="007F4A32">
        <w:rPr>
          <w:rFonts w:asciiTheme="minorHAnsi" w:hAnsiTheme="minorHAnsi"/>
          <w:bCs/>
          <w:color w:val="auto"/>
          <w:lang w:val="fr-FR"/>
        </w:rPr>
        <w:t xml:space="preserve"> </w:t>
      </w:r>
    </w:p>
    <w:p w14:paraId="5096CAFE" w14:textId="69F09D8D" w:rsidR="00521C16" w:rsidRDefault="00C40CD9" w:rsidP="00521C16">
      <w:pPr>
        <w:pStyle w:val="Default"/>
        <w:numPr>
          <w:ilvl w:val="0"/>
          <w:numId w:val="5"/>
        </w:numPr>
        <w:jc w:val="both"/>
        <w:rPr>
          <w:rFonts w:asciiTheme="minorHAnsi" w:hAnsiTheme="minorHAnsi"/>
          <w:bCs/>
          <w:color w:val="auto"/>
          <w:lang w:val="fr-FR"/>
        </w:rPr>
      </w:pPr>
      <w:r>
        <w:rPr>
          <w:rFonts w:asciiTheme="minorHAnsi" w:hAnsiTheme="minorHAnsi"/>
          <w:bCs/>
          <w:color w:val="auto"/>
          <w:lang w:val="fr-FR"/>
        </w:rPr>
        <w:t>L</w:t>
      </w:r>
      <w:r w:rsidR="00E51F70" w:rsidRPr="007920A9">
        <w:rPr>
          <w:rFonts w:asciiTheme="minorHAnsi" w:hAnsiTheme="minorHAnsi"/>
          <w:bCs/>
          <w:color w:val="auto"/>
          <w:lang w:val="fr-FR"/>
        </w:rPr>
        <w:t xml:space="preserve">a Loi sur l’accès à l’information </w:t>
      </w:r>
      <w:r w:rsidR="00E47607">
        <w:rPr>
          <w:rFonts w:asciiTheme="minorHAnsi" w:hAnsiTheme="minorHAnsi"/>
          <w:bCs/>
          <w:color w:val="auto"/>
          <w:lang w:val="fr-FR"/>
        </w:rPr>
        <w:t xml:space="preserve">a créé l’Instance d’accès à l’Information et </w:t>
      </w:r>
      <w:r w:rsidR="00E51F70" w:rsidRPr="007920A9">
        <w:rPr>
          <w:rFonts w:asciiTheme="minorHAnsi" w:hAnsiTheme="minorHAnsi"/>
          <w:bCs/>
          <w:color w:val="auto"/>
          <w:lang w:val="fr-FR"/>
        </w:rPr>
        <w:t>institue la mise en place d’un réseau de chargés d’accès à l’information dans chaque agence et ministère</w:t>
      </w:r>
      <w:r w:rsidR="00521C16">
        <w:rPr>
          <w:rFonts w:asciiTheme="minorHAnsi" w:hAnsiTheme="minorHAnsi"/>
          <w:bCs/>
          <w:color w:val="auto"/>
          <w:lang w:val="fr-FR"/>
        </w:rPr>
        <w:t>. Cette loi est portée par la DGRPA</w:t>
      </w:r>
      <w:r w:rsidR="007F4A32">
        <w:rPr>
          <w:rFonts w:asciiTheme="minorHAnsi" w:hAnsiTheme="minorHAnsi"/>
          <w:bCs/>
          <w:color w:val="auto"/>
          <w:lang w:val="fr-FR"/>
        </w:rPr>
        <w:t>.</w:t>
      </w:r>
    </w:p>
    <w:p w14:paraId="4827F99A" w14:textId="544E598F" w:rsidR="00407963" w:rsidRPr="00D337F3" w:rsidRDefault="00521C16" w:rsidP="00D337F3">
      <w:pPr>
        <w:pStyle w:val="Default"/>
        <w:numPr>
          <w:ilvl w:val="0"/>
          <w:numId w:val="5"/>
        </w:numPr>
        <w:jc w:val="both"/>
        <w:rPr>
          <w:rFonts w:asciiTheme="minorHAnsi" w:hAnsiTheme="minorHAnsi"/>
          <w:bCs/>
          <w:color w:val="auto"/>
          <w:lang w:val="fr-FR"/>
        </w:rPr>
      </w:pPr>
      <w:r>
        <w:rPr>
          <w:rFonts w:asciiTheme="minorHAnsi" w:hAnsiTheme="minorHAnsi"/>
          <w:bCs/>
          <w:color w:val="auto"/>
          <w:lang w:val="fr-FR"/>
        </w:rPr>
        <w:t>Le Gouvernement travaille naturellement de façon transversale avec la mise en place pour tous les grands projets nationaux (projet informatique, mais aussi législation) de comité de pilotage rassemblant plusieurs agences et ministères.</w:t>
      </w:r>
      <w:r w:rsidR="00E51F70" w:rsidRPr="007920A9">
        <w:rPr>
          <w:rFonts w:asciiTheme="minorHAnsi" w:hAnsiTheme="minorHAnsi"/>
          <w:bCs/>
          <w:color w:val="auto"/>
          <w:lang w:val="fr-FR"/>
        </w:rPr>
        <w:t xml:space="preserve"> </w:t>
      </w:r>
    </w:p>
    <w:p w14:paraId="409F5B38" w14:textId="77777777" w:rsidR="00FA1BB6" w:rsidRPr="007920A9" w:rsidRDefault="00FA1BB6" w:rsidP="00026C12">
      <w:pPr>
        <w:pStyle w:val="Default"/>
        <w:jc w:val="both"/>
        <w:rPr>
          <w:rFonts w:asciiTheme="minorHAnsi" w:hAnsiTheme="minorHAnsi"/>
          <w:color w:val="auto"/>
          <w:lang w:val="fr-FR"/>
        </w:rPr>
      </w:pPr>
    </w:p>
    <w:p w14:paraId="3C7B37C1" w14:textId="711F754C" w:rsidR="00FA1BB6" w:rsidRPr="007920A9" w:rsidRDefault="00FA1BB6" w:rsidP="008F3747">
      <w:pPr>
        <w:pStyle w:val="Default"/>
        <w:numPr>
          <w:ilvl w:val="1"/>
          <w:numId w:val="1"/>
        </w:numPr>
        <w:jc w:val="both"/>
        <w:rPr>
          <w:rFonts w:asciiTheme="minorHAnsi" w:hAnsiTheme="minorHAnsi"/>
          <w:b/>
          <w:bCs/>
          <w:color w:val="auto"/>
          <w:lang w:val="fr-FR"/>
        </w:rPr>
      </w:pPr>
      <w:r w:rsidRPr="007920A9">
        <w:rPr>
          <w:rFonts w:asciiTheme="minorHAnsi" w:hAnsiTheme="minorHAnsi"/>
          <w:b/>
          <w:bCs/>
          <w:color w:val="auto"/>
          <w:lang w:val="fr-FR"/>
        </w:rPr>
        <w:t>Existe-t-il des activités politiques ou des plans pertinents concernant l’ouverture des données publique</w:t>
      </w:r>
      <w:r w:rsidR="008B3687" w:rsidRPr="007920A9">
        <w:rPr>
          <w:rFonts w:asciiTheme="minorHAnsi" w:hAnsiTheme="minorHAnsi"/>
          <w:b/>
          <w:bCs/>
          <w:color w:val="auto"/>
          <w:lang w:val="fr-FR"/>
        </w:rPr>
        <w:t xml:space="preserve">s  (Importance: Moyenne) </w:t>
      </w:r>
      <w:r w:rsidR="00B7216F" w:rsidRPr="007920A9">
        <w:rPr>
          <w:rFonts w:asciiTheme="minorHAnsi" w:hAnsiTheme="minorHAnsi"/>
          <w:b/>
          <w:bCs/>
          <w:color w:val="auto"/>
          <w:highlight w:val="green"/>
          <w:lang w:val="fr-FR"/>
        </w:rPr>
        <w:t>VERT</w:t>
      </w:r>
    </w:p>
    <w:p w14:paraId="7CF82669" w14:textId="5ED9237F" w:rsidR="001D49C5" w:rsidRDefault="001D49C5" w:rsidP="008F3747">
      <w:pPr>
        <w:pStyle w:val="Default"/>
        <w:numPr>
          <w:ilvl w:val="0"/>
          <w:numId w:val="3"/>
        </w:numPr>
        <w:jc w:val="both"/>
        <w:rPr>
          <w:rFonts w:asciiTheme="minorHAnsi" w:hAnsiTheme="minorHAnsi"/>
          <w:bCs/>
          <w:color w:val="auto"/>
          <w:lang w:val="fr-FR"/>
        </w:rPr>
      </w:pPr>
      <w:r>
        <w:rPr>
          <w:rFonts w:asciiTheme="minorHAnsi" w:hAnsiTheme="minorHAnsi"/>
          <w:bCs/>
          <w:color w:val="auto"/>
          <w:lang w:val="fr-FR"/>
        </w:rPr>
        <w:t xml:space="preserve">Les concepts de transparence de gouvernance, de redevabilité et de gouvernance ouverte sont au cœur des stratégies et des engagements du Gouvernement. Cet engagement est visible notamment dans l’initiative </w:t>
      </w:r>
      <w:r w:rsidRPr="007920A9">
        <w:rPr>
          <w:rFonts w:asciiTheme="minorHAnsi" w:hAnsiTheme="minorHAnsi"/>
          <w:bCs/>
          <w:color w:val="auto"/>
          <w:lang w:val="fr-FR"/>
        </w:rPr>
        <w:t>SmartGov2020</w:t>
      </w:r>
    </w:p>
    <w:p w14:paraId="45F0DD44" w14:textId="33E26B90" w:rsidR="00E51F70" w:rsidRDefault="00E51F70" w:rsidP="008F3747">
      <w:pPr>
        <w:pStyle w:val="Default"/>
        <w:numPr>
          <w:ilvl w:val="0"/>
          <w:numId w:val="3"/>
        </w:numPr>
        <w:jc w:val="both"/>
        <w:rPr>
          <w:rFonts w:asciiTheme="minorHAnsi" w:hAnsiTheme="minorHAnsi"/>
          <w:bCs/>
          <w:color w:val="auto"/>
          <w:lang w:val="fr-FR"/>
        </w:rPr>
      </w:pPr>
      <w:r w:rsidRPr="007920A9">
        <w:rPr>
          <w:rFonts w:asciiTheme="minorHAnsi" w:hAnsiTheme="minorHAnsi"/>
          <w:bCs/>
          <w:color w:val="auto"/>
          <w:lang w:val="fr-FR"/>
        </w:rPr>
        <w:t>La Tunisie est membre du PGO depuis 2014 et implémente actuellement son deuxième plan</w:t>
      </w:r>
    </w:p>
    <w:p w14:paraId="10454B35" w14:textId="0CB8CD03" w:rsidR="00DD0A3F" w:rsidRPr="007920A9" w:rsidRDefault="00D51AA7" w:rsidP="008F3747">
      <w:pPr>
        <w:pStyle w:val="Default"/>
        <w:numPr>
          <w:ilvl w:val="0"/>
          <w:numId w:val="3"/>
        </w:numPr>
        <w:jc w:val="both"/>
        <w:rPr>
          <w:rFonts w:asciiTheme="minorHAnsi" w:hAnsiTheme="minorHAnsi"/>
          <w:bCs/>
          <w:color w:val="auto"/>
          <w:lang w:val="fr-FR"/>
        </w:rPr>
      </w:pPr>
      <w:r>
        <w:rPr>
          <w:rFonts w:asciiTheme="minorHAnsi" w:hAnsiTheme="minorHAnsi"/>
          <w:bCs/>
          <w:color w:val="auto"/>
          <w:lang w:val="fr-FR"/>
        </w:rPr>
        <w:t>10 des 15 engagements du</w:t>
      </w:r>
      <w:r w:rsidR="00DD0A3F">
        <w:rPr>
          <w:rFonts w:asciiTheme="minorHAnsi" w:hAnsiTheme="minorHAnsi"/>
          <w:bCs/>
          <w:color w:val="auto"/>
          <w:lang w:val="fr-FR"/>
        </w:rPr>
        <w:t xml:space="preserve"> deuxième plan d’action du PGO ont un rapport direct avec l’Open Data et la publication de données ouvertes</w:t>
      </w:r>
    </w:p>
    <w:p w14:paraId="5E16BABB" w14:textId="13389262" w:rsidR="00B7216F" w:rsidRPr="007920A9" w:rsidRDefault="00B7216F" w:rsidP="008F3747">
      <w:pPr>
        <w:pStyle w:val="Default"/>
        <w:numPr>
          <w:ilvl w:val="0"/>
          <w:numId w:val="3"/>
        </w:numPr>
        <w:jc w:val="both"/>
        <w:rPr>
          <w:rFonts w:asciiTheme="minorHAnsi" w:hAnsiTheme="minorHAnsi"/>
          <w:bCs/>
          <w:color w:val="auto"/>
          <w:lang w:val="fr-FR"/>
        </w:rPr>
      </w:pPr>
      <w:r w:rsidRPr="007920A9">
        <w:rPr>
          <w:rFonts w:asciiTheme="minorHAnsi" w:hAnsiTheme="minorHAnsi"/>
          <w:bCs/>
          <w:color w:val="auto"/>
          <w:lang w:val="fr-FR"/>
        </w:rPr>
        <w:t xml:space="preserve">La </w:t>
      </w:r>
      <w:r w:rsidR="00E51F70" w:rsidRPr="007920A9">
        <w:rPr>
          <w:rFonts w:asciiTheme="minorHAnsi" w:hAnsiTheme="minorHAnsi"/>
          <w:bCs/>
          <w:color w:val="auto"/>
          <w:lang w:val="fr-FR"/>
        </w:rPr>
        <w:t>Tunisie</w:t>
      </w:r>
      <w:r w:rsidRPr="007920A9">
        <w:rPr>
          <w:rFonts w:asciiTheme="minorHAnsi" w:hAnsiTheme="minorHAnsi"/>
          <w:bCs/>
          <w:color w:val="auto"/>
          <w:lang w:val="fr-FR"/>
        </w:rPr>
        <w:t xml:space="preserve"> </w:t>
      </w:r>
      <w:r w:rsidR="005761D2">
        <w:rPr>
          <w:rFonts w:asciiTheme="minorHAnsi" w:hAnsiTheme="minorHAnsi"/>
          <w:bCs/>
          <w:color w:val="auto"/>
          <w:lang w:val="fr-FR"/>
        </w:rPr>
        <w:t>est en cours d’application officielle</w:t>
      </w:r>
      <w:r w:rsidR="005761D2" w:rsidRPr="007920A9">
        <w:rPr>
          <w:rFonts w:asciiTheme="minorHAnsi" w:hAnsiTheme="minorHAnsi"/>
          <w:bCs/>
          <w:color w:val="auto"/>
          <w:lang w:val="fr-FR"/>
        </w:rPr>
        <w:t xml:space="preserve"> </w:t>
      </w:r>
      <w:r w:rsidRPr="007920A9">
        <w:rPr>
          <w:rFonts w:asciiTheme="minorHAnsi" w:hAnsiTheme="minorHAnsi"/>
          <w:bCs/>
          <w:color w:val="auto"/>
          <w:lang w:val="fr-FR"/>
        </w:rPr>
        <w:t xml:space="preserve">à l’initiative ITIE et </w:t>
      </w:r>
      <w:r w:rsidR="005761D2">
        <w:rPr>
          <w:rFonts w:asciiTheme="minorHAnsi" w:hAnsiTheme="minorHAnsi"/>
          <w:bCs/>
          <w:color w:val="auto"/>
          <w:lang w:val="fr-FR"/>
        </w:rPr>
        <w:t xml:space="preserve">a commencé à </w:t>
      </w:r>
      <w:r w:rsidR="00E47607" w:rsidRPr="007920A9">
        <w:rPr>
          <w:rFonts w:asciiTheme="minorHAnsi" w:hAnsiTheme="minorHAnsi"/>
          <w:bCs/>
          <w:color w:val="auto"/>
          <w:lang w:val="fr-FR"/>
        </w:rPr>
        <w:t>publie</w:t>
      </w:r>
      <w:r w:rsidR="00E47607">
        <w:rPr>
          <w:rFonts w:asciiTheme="minorHAnsi" w:hAnsiTheme="minorHAnsi"/>
          <w:bCs/>
          <w:color w:val="auto"/>
          <w:lang w:val="fr-FR"/>
        </w:rPr>
        <w:t>r</w:t>
      </w:r>
      <w:r w:rsidR="00E47607" w:rsidRPr="007920A9">
        <w:rPr>
          <w:rFonts w:asciiTheme="minorHAnsi" w:hAnsiTheme="minorHAnsi"/>
          <w:bCs/>
          <w:color w:val="auto"/>
          <w:lang w:val="fr-FR"/>
        </w:rPr>
        <w:t xml:space="preserve"> les</w:t>
      </w:r>
      <w:r w:rsidRPr="007920A9">
        <w:rPr>
          <w:rFonts w:asciiTheme="minorHAnsi" w:hAnsiTheme="minorHAnsi"/>
          <w:bCs/>
          <w:color w:val="auto"/>
          <w:lang w:val="fr-FR"/>
        </w:rPr>
        <w:t xml:space="preserve"> données requises par cette initiative</w:t>
      </w:r>
    </w:p>
    <w:p w14:paraId="29068D0C" w14:textId="7D383909" w:rsidR="00B7216F" w:rsidRDefault="00B7216F" w:rsidP="008F3747">
      <w:pPr>
        <w:pStyle w:val="Default"/>
        <w:numPr>
          <w:ilvl w:val="0"/>
          <w:numId w:val="3"/>
        </w:numPr>
        <w:jc w:val="both"/>
        <w:rPr>
          <w:rFonts w:asciiTheme="minorHAnsi" w:hAnsiTheme="minorHAnsi"/>
          <w:bCs/>
          <w:color w:val="auto"/>
          <w:lang w:val="fr-FR"/>
        </w:rPr>
      </w:pPr>
      <w:r w:rsidRPr="007920A9">
        <w:rPr>
          <w:rFonts w:asciiTheme="minorHAnsi" w:hAnsiTheme="minorHAnsi"/>
          <w:bCs/>
          <w:color w:val="auto"/>
          <w:lang w:val="fr-FR"/>
        </w:rPr>
        <w:t xml:space="preserve">La </w:t>
      </w:r>
      <w:r w:rsidR="00E51F70" w:rsidRPr="007920A9">
        <w:rPr>
          <w:rFonts w:asciiTheme="minorHAnsi" w:hAnsiTheme="minorHAnsi"/>
          <w:bCs/>
          <w:color w:val="auto"/>
          <w:lang w:val="fr-FR"/>
        </w:rPr>
        <w:t>Tunisie</w:t>
      </w:r>
      <w:r w:rsidRPr="007920A9">
        <w:rPr>
          <w:rFonts w:asciiTheme="minorHAnsi" w:hAnsiTheme="minorHAnsi"/>
          <w:bCs/>
          <w:color w:val="auto"/>
          <w:lang w:val="fr-FR"/>
        </w:rPr>
        <w:t xml:space="preserve"> participe à l’initiative BOOST et publi</w:t>
      </w:r>
      <w:r w:rsidR="00E47607">
        <w:rPr>
          <w:rFonts w:asciiTheme="minorHAnsi" w:hAnsiTheme="minorHAnsi"/>
          <w:bCs/>
          <w:color w:val="auto"/>
          <w:lang w:val="fr-FR"/>
        </w:rPr>
        <w:t>e</w:t>
      </w:r>
      <w:r w:rsidRPr="007920A9">
        <w:rPr>
          <w:rFonts w:asciiTheme="minorHAnsi" w:hAnsiTheme="minorHAnsi"/>
          <w:bCs/>
          <w:color w:val="auto"/>
          <w:lang w:val="fr-FR"/>
        </w:rPr>
        <w:t xml:space="preserve"> toutes les données budgétaires relative</w:t>
      </w:r>
      <w:r w:rsidR="007D35D3">
        <w:rPr>
          <w:rFonts w:asciiTheme="minorHAnsi" w:hAnsiTheme="minorHAnsi"/>
          <w:bCs/>
          <w:color w:val="auto"/>
          <w:lang w:val="fr-FR"/>
        </w:rPr>
        <w:t>s</w:t>
      </w:r>
      <w:r w:rsidRPr="007920A9">
        <w:rPr>
          <w:rFonts w:asciiTheme="minorHAnsi" w:hAnsiTheme="minorHAnsi"/>
          <w:bCs/>
          <w:color w:val="auto"/>
          <w:lang w:val="fr-FR"/>
        </w:rPr>
        <w:t xml:space="preserve"> à cette initiative</w:t>
      </w:r>
    </w:p>
    <w:p w14:paraId="133F6BCC" w14:textId="4C8AB9B7" w:rsidR="00DD0A3F" w:rsidRDefault="00DD0A3F" w:rsidP="00DD0A3F">
      <w:pPr>
        <w:pStyle w:val="Default"/>
        <w:numPr>
          <w:ilvl w:val="0"/>
          <w:numId w:val="3"/>
        </w:numPr>
        <w:jc w:val="both"/>
        <w:rPr>
          <w:rFonts w:asciiTheme="minorHAnsi" w:hAnsiTheme="minorHAnsi"/>
          <w:bCs/>
          <w:color w:val="auto"/>
          <w:lang w:val="fr-FR"/>
        </w:rPr>
      </w:pPr>
      <w:r>
        <w:rPr>
          <w:rFonts w:asciiTheme="minorHAnsi" w:hAnsiTheme="minorHAnsi"/>
          <w:bCs/>
          <w:color w:val="auto"/>
          <w:lang w:val="fr-FR"/>
        </w:rPr>
        <w:t>La H</w:t>
      </w:r>
      <w:r w:rsidR="00E47607">
        <w:rPr>
          <w:rFonts w:asciiTheme="minorHAnsi" w:hAnsiTheme="minorHAnsi"/>
          <w:bCs/>
          <w:color w:val="auto"/>
          <w:lang w:val="fr-FR"/>
        </w:rPr>
        <w:t>a</w:t>
      </w:r>
      <w:r>
        <w:rPr>
          <w:rFonts w:asciiTheme="minorHAnsi" w:hAnsiTheme="minorHAnsi"/>
          <w:bCs/>
          <w:color w:val="auto"/>
          <w:lang w:val="fr-FR"/>
        </w:rPr>
        <w:t>ute Instance de la Commande P</w:t>
      </w:r>
      <w:r w:rsidRPr="00DD0A3F">
        <w:rPr>
          <w:rFonts w:asciiTheme="minorHAnsi" w:hAnsiTheme="minorHAnsi"/>
          <w:bCs/>
          <w:color w:val="auto"/>
          <w:lang w:val="fr-FR"/>
        </w:rPr>
        <w:t>ublique</w:t>
      </w:r>
      <w:r>
        <w:rPr>
          <w:rFonts w:asciiTheme="minorHAnsi" w:hAnsiTheme="minorHAnsi"/>
          <w:bCs/>
          <w:color w:val="auto"/>
          <w:lang w:val="fr-FR"/>
        </w:rPr>
        <w:t xml:space="preserve"> (HAICOP) et son unité TUNEPS (Tunisia Electronic Procurement System – Système électronique de passation de marché de la Tunisie) sont engagé dans un processus d’adoption du standard de données Open Contracting (OCDS).</w:t>
      </w:r>
    </w:p>
    <w:p w14:paraId="6427E491" w14:textId="6F5AE277" w:rsidR="007F4A32" w:rsidRPr="007920A9" w:rsidRDefault="007F4A32" w:rsidP="00DD0A3F">
      <w:pPr>
        <w:pStyle w:val="Default"/>
        <w:numPr>
          <w:ilvl w:val="0"/>
          <w:numId w:val="3"/>
        </w:numPr>
        <w:jc w:val="both"/>
        <w:rPr>
          <w:rFonts w:asciiTheme="minorHAnsi" w:hAnsiTheme="minorHAnsi"/>
          <w:bCs/>
          <w:color w:val="auto"/>
          <w:lang w:val="fr-FR"/>
        </w:rPr>
      </w:pPr>
      <w:r>
        <w:rPr>
          <w:rFonts w:asciiTheme="minorHAnsi" w:hAnsiTheme="minorHAnsi"/>
          <w:bCs/>
          <w:color w:val="auto"/>
          <w:lang w:val="fr-FR"/>
        </w:rPr>
        <w:t>Le Ministère des Finances (MIF) est engagé dans une grande réforme de la gestion du budget et de la mise en place de la « Gestion du Budget par Objectifs » (GBO</w:t>
      </w:r>
      <w:r>
        <w:rPr>
          <w:rStyle w:val="Appelnotedebasdep"/>
          <w:rFonts w:asciiTheme="minorHAnsi" w:hAnsiTheme="minorHAnsi"/>
          <w:bCs/>
          <w:color w:val="auto"/>
          <w:lang w:val="fr-FR"/>
        </w:rPr>
        <w:footnoteReference w:id="29"/>
      </w:r>
      <w:r>
        <w:rPr>
          <w:rFonts w:asciiTheme="minorHAnsi" w:hAnsiTheme="minorHAnsi"/>
          <w:bCs/>
          <w:color w:val="auto"/>
          <w:lang w:val="fr-FR"/>
        </w:rPr>
        <w:t>) qui demandera une évaluation détaillée des performances des ministères</w:t>
      </w:r>
    </w:p>
    <w:p w14:paraId="7B5DDB86" w14:textId="0015642D" w:rsidR="00B7216F" w:rsidRPr="007920A9" w:rsidRDefault="00E51F70" w:rsidP="008F3747">
      <w:pPr>
        <w:pStyle w:val="Default"/>
        <w:numPr>
          <w:ilvl w:val="0"/>
          <w:numId w:val="3"/>
        </w:numPr>
        <w:jc w:val="both"/>
        <w:rPr>
          <w:rFonts w:asciiTheme="minorHAnsi" w:hAnsiTheme="minorHAnsi"/>
          <w:bCs/>
          <w:color w:val="auto"/>
          <w:lang w:val="fr-FR"/>
        </w:rPr>
      </w:pPr>
      <w:r w:rsidRPr="007920A9">
        <w:rPr>
          <w:rFonts w:asciiTheme="minorHAnsi" w:hAnsiTheme="minorHAnsi"/>
          <w:bCs/>
          <w:color w:val="auto"/>
          <w:lang w:val="fr-FR"/>
        </w:rPr>
        <w:lastRenderedPageBreak/>
        <w:t xml:space="preserve">Le portail de données ouvertes </w:t>
      </w:r>
      <w:r w:rsidR="00C40CD9">
        <w:rPr>
          <w:rFonts w:asciiTheme="minorHAnsi" w:hAnsiTheme="minorHAnsi"/>
          <w:bCs/>
          <w:color w:val="auto"/>
          <w:lang w:val="fr-FR"/>
        </w:rPr>
        <w:t xml:space="preserve">« Open data » </w:t>
      </w:r>
      <w:r w:rsidRPr="007920A9">
        <w:rPr>
          <w:rFonts w:asciiTheme="minorHAnsi" w:hAnsiTheme="minorHAnsi"/>
          <w:bCs/>
          <w:color w:val="auto"/>
          <w:lang w:val="fr-FR"/>
        </w:rPr>
        <w:t>a été mis en place depuis 2012</w:t>
      </w:r>
    </w:p>
    <w:p w14:paraId="7BC839A0" w14:textId="2375C52B" w:rsidR="00521C16" w:rsidRDefault="00E51F70" w:rsidP="008F3747">
      <w:pPr>
        <w:pStyle w:val="Default"/>
        <w:numPr>
          <w:ilvl w:val="0"/>
          <w:numId w:val="3"/>
        </w:numPr>
        <w:jc w:val="both"/>
        <w:rPr>
          <w:rFonts w:asciiTheme="minorHAnsi" w:hAnsiTheme="minorHAnsi"/>
          <w:bCs/>
          <w:color w:val="auto"/>
          <w:lang w:val="fr-FR"/>
        </w:rPr>
      </w:pPr>
      <w:r w:rsidRPr="007920A9">
        <w:rPr>
          <w:rFonts w:asciiTheme="minorHAnsi" w:hAnsiTheme="minorHAnsi"/>
          <w:bCs/>
          <w:color w:val="auto"/>
          <w:lang w:val="fr-FR"/>
        </w:rPr>
        <w:t>Le Ministère de l’Intérieur</w:t>
      </w:r>
      <w:r w:rsidR="00D51AA7">
        <w:rPr>
          <w:rFonts w:asciiTheme="minorHAnsi" w:hAnsiTheme="minorHAnsi"/>
          <w:bCs/>
          <w:color w:val="auto"/>
          <w:lang w:val="fr-FR"/>
        </w:rPr>
        <w:t xml:space="preserve"> (MINT)</w:t>
      </w:r>
      <w:r w:rsidR="005761D2">
        <w:rPr>
          <w:rFonts w:asciiTheme="minorHAnsi" w:hAnsiTheme="minorHAnsi"/>
          <w:bCs/>
          <w:color w:val="auto"/>
          <w:lang w:val="fr-FR"/>
        </w:rPr>
        <w:t xml:space="preserve">, l’INS, le </w:t>
      </w:r>
      <w:r w:rsidR="00D51AA7">
        <w:rPr>
          <w:rFonts w:asciiTheme="minorHAnsi" w:hAnsiTheme="minorHAnsi"/>
          <w:bCs/>
          <w:color w:val="auto"/>
          <w:lang w:val="fr-FR"/>
        </w:rPr>
        <w:t>MIF, le Ministère de L’Energie, des Mines et des Energies Renouvelable (MEMER)</w:t>
      </w:r>
      <w:r w:rsidR="00895E17">
        <w:rPr>
          <w:rFonts w:asciiTheme="minorHAnsi" w:hAnsiTheme="minorHAnsi"/>
          <w:bCs/>
          <w:color w:val="auto"/>
          <w:lang w:val="fr-FR"/>
        </w:rPr>
        <w:t>, le Ministère de l</w:t>
      </w:r>
      <w:r w:rsidR="007D35D3">
        <w:rPr>
          <w:rFonts w:asciiTheme="minorHAnsi" w:hAnsiTheme="minorHAnsi"/>
          <w:bCs/>
          <w:color w:val="auto"/>
          <w:lang w:val="fr-FR"/>
        </w:rPr>
        <w:t xml:space="preserve">’Industrie et des PMEs (MIP) </w:t>
      </w:r>
      <w:r w:rsidR="00D51AA7">
        <w:rPr>
          <w:rFonts w:asciiTheme="minorHAnsi" w:hAnsiTheme="minorHAnsi"/>
          <w:bCs/>
          <w:color w:val="auto"/>
          <w:lang w:val="fr-FR"/>
        </w:rPr>
        <w:t xml:space="preserve"> </w:t>
      </w:r>
      <w:r w:rsidRPr="007920A9">
        <w:rPr>
          <w:rFonts w:asciiTheme="minorHAnsi" w:hAnsiTheme="minorHAnsi"/>
          <w:bCs/>
          <w:color w:val="auto"/>
          <w:lang w:val="fr-FR"/>
        </w:rPr>
        <w:t>et le Ministère de</w:t>
      </w:r>
      <w:r w:rsidR="00E47607">
        <w:rPr>
          <w:rFonts w:asciiTheme="minorHAnsi" w:hAnsiTheme="minorHAnsi"/>
          <w:bCs/>
          <w:color w:val="auto"/>
          <w:lang w:val="fr-FR"/>
        </w:rPr>
        <w:t xml:space="preserve">s Affaires Culturelles </w:t>
      </w:r>
      <w:r w:rsidR="007F4A32">
        <w:rPr>
          <w:rFonts w:asciiTheme="minorHAnsi" w:hAnsiTheme="minorHAnsi"/>
          <w:bCs/>
          <w:color w:val="auto"/>
          <w:lang w:val="fr-FR"/>
        </w:rPr>
        <w:t>(MIC)</w:t>
      </w:r>
      <w:r w:rsidRPr="007920A9">
        <w:rPr>
          <w:rFonts w:asciiTheme="minorHAnsi" w:hAnsiTheme="minorHAnsi"/>
          <w:bCs/>
          <w:color w:val="auto"/>
          <w:lang w:val="fr-FR"/>
        </w:rPr>
        <w:t xml:space="preserve"> ont leur propre portail de données</w:t>
      </w:r>
      <w:r w:rsidR="00521C16">
        <w:rPr>
          <w:rFonts w:asciiTheme="minorHAnsi" w:hAnsiTheme="minorHAnsi"/>
          <w:bCs/>
          <w:color w:val="auto"/>
          <w:lang w:val="fr-FR"/>
        </w:rPr>
        <w:t>.</w:t>
      </w:r>
      <w:r w:rsidR="00D51AA7">
        <w:rPr>
          <w:rFonts w:asciiTheme="minorHAnsi" w:hAnsiTheme="minorHAnsi"/>
          <w:bCs/>
          <w:color w:val="auto"/>
          <w:lang w:val="fr-FR"/>
        </w:rPr>
        <w:t xml:space="preserve"> </w:t>
      </w:r>
    </w:p>
    <w:p w14:paraId="1620999A" w14:textId="087EC8AC" w:rsidR="00E51F70" w:rsidRPr="007920A9" w:rsidRDefault="00521C16" w:rsidP="008F3747">
      <w:pPr>
        <w:pStyle w:val="Default"/>
        <w:numPr>
          <w:ilvl w:val="0"/>
          <w:numId w:val="3"/>
        </w:numPr>
        <w:jc w:val="both"/>
        <w:rPr>
          <w:rFonts w:asciiTheme="minorHAnsi" w:hAnsiTheme="minorHAnsi"/>
          <w:bCs/>
          <w:color w:val="auto"/>
          <w:lang w:val="fr-FR"/>
        </w:rPr>
      </w:pPr>
      <w:r>
        <w:rPr>
          <w:rFonts w:asciiTheme="minorHAnsi" w:hAnsiTheme="minorHAnsi"/>
          <w:bCs/>
          <w:color w:val="auto"/>
          <w:lang w:val="fr-FR"/>
        </w:rPr>
        <w:t>D’autres ministères sont en cours de réalisation de leur portail : Ministère du Transports (M</w:t>
      </w:r>
      <w:r w:rsidR="000853E1">
        <w:rPr>
          <w:rFonts w:asciiTheme="minorHAnsi" w:hAnsiTheme="minorHAnsi"/>
          <w:bCs/>
          <w:color w:val="auto"/>
          <w:lang w:val="fr-FR"/>
        </w:rPr>
        <w:t>I</w:t>
      </w:r>
      <w:r>
        <w:rPr>
          <w:rFonts w:asciiTheme="minorHAnsi" w:hAnsiTheme="minorHAnsi"/>
          <w:bCs/>
          <w:color w:val="auto"/>
          <w:lang w:val="fr-FR"/>
        </w:rPr>
        <w:t>T), Ministère des Affaires Locales et de l’Environnement (MALE)</w:t>
      </w:r>
      <w:r w:rsidR="00C40CD9">
        <w:rPr>
          <w:rFonts w:asciiTheme="minorHAnsi" w:hAnsiTheme="minorHAnsi"/>
          <w:bCs/>
          <w:color w:val="auto"/>
          <w:lang w:val="fr-FR"/>
        </w:rPr>
        <w:t xml:space="preserve"> </w:t>
      </w:r>
    </w:p>
    <w:p w14:paraId="3FAED45B" w14:textId="0579A508" w:rsidR="00E51F70" w:rsidRDefault="00E51F70" w:rsidP="008F3747">
      <w:pPr>
        <w:pStyle w:val="Default"/>
        <w:numPr>
          <w:ilvl w:val="0"/>
          <w:numId w:val="3"/>
        </w:numPr>
        <w:jc w:val="both"/>
        <w:rPr>
          <w:rFonts w:asciiTheme="minorHAnsi" w:hAnsiTheme="minorHAnsi"/>
          <w:bCs/>
          <w:color w:val="auto"/>
          <w:lang w:val="fr-FR"/>
        </w:rPr>
      </w:pPr>
      <w:r w:rsidRPr="007920A9">
        <w:rPr>
          <w:rFonts w:asciiTheme="minorHAnsi" w:hAnsiTheme="minorHAnsi"/>
          <w:bCs/>
          <w:color w:val="auto"/>
          <w:lang w:val="fr-FR"/>
        </w:rPr>
        <w:t>Plusieurs initiatives locales existent depuis plusieurs années, notamment la Ville de Sayada publie des données locales depuis Janvier 2012</w:t>
      </w:r>
      <w:r w:rsidRPr="007920A9">
        <w:rPr>
          <w:rStyle w:val="Appelnotedebasdep"/>
          <w:rFonts w:asciiTheme="minorHAnsi" w:hAnsiTheme="minorHAnsi"/>
          <w:bCs/>
          <w:color w:val="auto"/>
          <w:lang w:val="fr-FR"/>
        </w:rPr>
        <w:footnoteReference w:id="30"/>
      </w:r>
      <w:r w:rsidRPr="007920A9">
        <w:rPr>
          <w:rFonts w:asciiTheme="minorHAnsi" w:hAnsiTheme="minorHAnsi"/>
          <w:bCs/>
          <w:color w:val="auto"/>
          <w:lang w:val="fr-FR"/>
        </w:rPr>
        <w:t>. La ville de Monastir a également organisé un événement Open Data dans le cadre de la journée mondiale de l’Open Data en Janvier 2015</w:t>
      </w:r>
      <w:r w:rsidRPr="007920A9">
        <w:rPr>
          <w:rStyle w:val="Appelnotedebasdep"/>
          <w:rFonts w:asciiTheme="minorHAnsi" w:hAnsiTheme="minorHAnsi"/>
          <w:bCs/>
          <w:color w:val="auto"/>
          <w:lang w:val="fr-FR"/>
        </w:rPr>
        <w:footnoteReference w:id="31"/>
      </w:r>
      <w:r w:rsidRPr="007920A9">
        <w:rPr>
          <w:rFonts w:asciiTheme="minorHAnsi" w:hAnsiTheme="minorHAnsi"/>
          <w:bCs/>
          <w:color w:val="auto"/>
          <w:lang w:val="fr-FR"/>
        </w:rPr>
        <w:t xml:space="preserve"> </w:t>
      </w:r>
    </w:p>
    <w:p w14:paraId="26BCE565" w14:textId="562CCE3F" w:rsidR="00A25098" w:rsidRPr="00A25098" w:rsidRDefault="00A25098" w:rsidP="00D5699E">
      <w:pPr>
        <w:pStyle w:val="Default"/>
        <w:numPr>
          <w:ilvl w:val="0"/>
          <w:numId w:val="123"/>
        </w:numPr>
        <w:jc w:val="both"/>
        <w:rPr>
          <w:rFonts w:asciiTheme="minorHAnsi" w:hAnsiTheme="minorHAnsi" w:cstheme="minorHAnsi"/>
          <w:bCs/>
          <w:color w:val="auto"/>
          <w:lang w:val="fr-FR"/>
        </w:rPr>
      </w:pPr>
      <w:r w:rsidRPr="001B6DD5">
        <w:rPr>
          <w:rFonts w:asciiTheme="minorHAnsi" w:hAnsiTheme="minorHAnsi" w:cstheme="minorHAnsi"/>
          <w:lang w:val="fr-FR"/>
        </w:rPr>
        <w:t>134 municipalités dans l’ancien découpage territorial ne disposent pas de site web et 86 municipalités créées selon le nouveau découpage n’ont pas également un site web</w:t>
      </w:r>
      <w:r>
        <w:rPr>
          <w:rStyle w:val="Appelnotedebasdep"/>
          <w:rFonts w:asciiTheme="minorHAnsi" w:hAnsiTheme="minorHAnsi" w:cstheme="minorHAnsi"/>
          <w:lang w:val="fr-FR"/>
        </w:rPr>
        <w:footnoteReference w:id="32"/>
      </w:r>
      <w:r w:rsidRPr="001B6DD5">
        <w:rPr>
          <w:rFonts w:asciiTheme="minorHAnsi" w:hAnsiTheme="minorHAnsi" w:cstheme="minorHAnsi"/>
          <w:lang w:val="fr-FR"/>
        </w:rPr>
        <w:t>. </w:t>
      </w:r>
    </w:p>
    <w:p w14:paraId="64FE3297" w14:textId="3B760A0E" w:rsidR="001D49C5" w:rsidRPr="007920A9" w:rsidRDefault="001D49C5" w:rsidP="008F3747">
      <w:pPr>
        <w:pStyle w:val="Default"/>
        <w:numPr>
          <w:ilvl w:val="0"/>
          <w:numId w:val="3"/>
        </w:numPr>
        <w:jc w:val="both"/>
        <w:rPr>
          <w:rFonts w:asciiTheme="minorHAnsi" w:hAnsiTheme="minorHAnsi"/>
          <w:bCs/>
          <w:color w:val="auto"/>
          <w:lang w:val="fr-FR"/>
        </w:rPr>
      </w:pPr>
      <w:r>
        <w:rPr>
          <w:rFonts w:asciiTheme="minorHAnsi" w:hAnsiTheme="minorHAnsi"/>
          <w:bCs/>
          <w:color w:val="auto"/>
          <w:lang w:val="fr-FR"/>
        </w:rPr>
        <w:t>L’UAE a comme objectif de faire progresser la Tunisie dans les index internationaux liés à l’Open Data, comme le Baromètre Open Data (ODB</w:t>
      </w:r>
      <w:r>
        <w:rPr>
          <w:rStyle w:val="Appelnotedebasdep"/>
          <w:rFonts w:asciiTheme="minorHAnsi" w:hAnsiTheme="minorHAnsi"/>
          <w:bCs/>
          <w:color w:val="auto"/>
          <w:lang w:val="fr-FR"/>
        </w:rPr>
        <w:footnoteReference w:id="33"/>
      </w:r>
      <w:r>
        <w:rPr>
          <w:rFonts w:asciiTheme="minorHAnsi" w:hAnsiTheme="minorHAnsi"/>
          <w:bCs/>
          <w:color w:val="auto"/>
          <w:lang w:val="fr-FR"/>
        </w:rPr>
        <w:t>).</w:t>
      </w:r>
    </w:p>
    <w:p w14:paraId="4F6EEF8F" w14:textId="77777777" w:rsidR="00B7216F" w:rsidRPr="007920A9" w:rsidRDefault="00B7216F" w:rsidP="00026C12">
      <w:pPr>
        <w:pStyle w:val="Default"/>
        <w:jc w:val="both"/>
        <w:rPr>
          <w:rFonts w:asciiTheme="minorHAnsi" w:hAnsiTheme="minorHAnsi"/>
          <w:bCs/>
          <w:color w:val="auto"/>
          <w:lang w:val="fr-FR"/>
        </w:rPr>
      </w:pPr>
    </w:p>
    <w:p w14:paraId="6DE92234" w14:textId="77777777" w:rsidR="00FA1BB6" w:rsidRPr="007920A9" w:rsidRDefault="00FA1BB6" w:rsidP="008F3747">
      <w:pPr>
        <w:pStyle w:val="Default"/>
        <w:numPr>
          <w:ilvl w:val="1"/>
          <w:numId w:val="1"/>
        </w:numPr>
        <w:jc w:val="both"/>
        <w:rPr>
          <w:rFonts w:asciiTheme="minorHAnsi" w:hAnsiTheme="minorHAnsi"/>
          <w:bCs/>
          <w:color w:val="auto"/>
          <w:lang w:val="fr-FR"/>
        </w:rPr>
      </w:pPr>
      <w:r w:rsidRPr="007920A9">
        <w:rPr>
          <w:rFonts w:asciiTheme="minorHAnsi" w:hAnsiTheme="minorHAnsi"/>
          <w:b/>
          <w:bCs/>
          <w:color w:val="auto"/>
          <w:lang w:val="fr-FR"/>
        </w:rPr>
        <w:t xml:space="preserve">Le cadre politique plus large du pays facilite-t-il ou entrave-t-il l’ouverture des données publiques? (Importance: Élevée). </w:t>
      </w:r>
      <w:r w:rsidR="00B7216F" w:rsidRPr="007920A9">
        <w:rPr>
          <w:rFonts w:asciiTheme="minorHAnsi" w:hAnsiTheme="minorHAnsi"/>
          <w:b/>
          <w:bCs/>
          <w:color w:val="auto"/>
          <w:lang w:val="fr-FR"/>
        </w:rPr>
        <w:t xml:space="preserve"> </w:t>
      </w:r>
      <w:r w:rsidR="00B7216F" w:rsidRPr="007920A9">
        <w:rPr>
          <w:rFonts w:asciiTheme="minorHAnsi" w:hAnsiTheme="minorHAnsi"/>
          <w:b/>
          <w:bCs/>
          <w:color w:val="auto"/>
          <w:highlight w:val="green"/>
          <w:lang w:val="fr-FR"/>
        </w:rPr>
        <w:t>VERT</w:t>
      </w:r>
    </w:p>
    <w:p w14:paraId="23D21C41" w14:textId="77777777" w:rsidR="008B3687" w:rsidRPr="007920A9" w:rsidRDefault="008B3687" w:rsidP="00026C12">
      <w:pPr>
        <w:pStyle w:val="Default"/>
        <w:ind w:left="360"/>
        <w:jc w:val="both"/>
        <w:rPr>
          <w:rFonts w:asciiTheme="minorHAnsi" w:hAnsiTheme="minorHAnsi"/>
          <w:b/>
          <w:bCs/>
          <w:color w:val="auto"/>
          <w:lang w:val="fr-FR"/>
        </w:rPr>
      </w:pPr>
    </w:p>
    <w:p w14:paraId="3C11D8D5" w14:textId="77777777" w:rsidR="00133826" w:rsidRPr="007920A9" w:rsidRDefault="00133826" w:rsidP="008F3747">
      <w:pPr>
        <w:pStyle w:val="Default"/>
        <w:numPr>
          <w:ilvl w:val="0"/>
          <w:numId w:val="4"/>
        </w:numPr>
        <w:jc w:val="both"/>
        <w:rPr>
          <w:rFonts w:asciiTheme="minorHAnsi" w:hAnsiTheme="minorHAnsi"/>
          <w:bCs/>
          <w:color w:val="auto"/>
          <w:lang w:val="fr-FR"/>
        </w:rPr>
      </w:pPr>
      <w:r w:rsidRPr="007920A9">
        <w:rPr>
          <w:rFonts w:asciiTheme="minorHAnsi" w:hAnsiTheme="minorHAnsi"/>
          <w:bCs/>
          <w:color w:val="auto"/>
          <w:lang w:val="fr-FR"/>
        </w:rPr>
        <w:t xml:space="preserve">Le cœur des revendications de la révolution populaire Tunisienne de 2011 est lié à la transparence de gouvernance, la redevabilité, la lutte contre la corruption et la participation citoyenne. Ces valeurs sont fondatrices pour l’ouverture des données et sont également un sujet essentiel pour l’ensemble des Gouvernements successifs de la Tunisie. </w:t>
      </w:r>
    </w:p>
    <w:p w14:paraId="66854320" w14:textId="580B438E" w:rsidR="00133826" w:rsidRPr="007920A9" w:rsidRDefault="00133826" w:rsidP="008F3747">
      <w:pPr>
        <w:pStyle w:val="Default"/>
        <w:numPr>
          <w:ilvl w:val="0"/>
          <w:numId w:val="4"/>
        </w:numPr>
        <w:jc w:val="both"/>
        <w:rPr>
          <w:rFonts w:asciiTheme="minorHAnsi" w:hAnsiTheme="minorHAnsi"/>
          <w:bCs/>
          <w:color w:val="auto"/>
          <w:lang w:val="fr-FR"/>
        </w:rPr>
      </w:pPr>
      <w:r w:rsidRPr="007920A9">
        <w:rPr>
          <w:rFonts w:asciiTheme="minorHAnsi" w:hAnsiTheme="minorHAnsi"/>
          <w:bCs/>
          <w:color w:val="auto"/>
          <w:lang w:val="fr-FR"/>
        </w:rPr>
        <w:t>Malgré la relative instabilité politique de la Tunisie et la succession des gouvernements depuis 2011, les thèmes de la transparence de gouvernance et d’ouverture des données publiques sont resté</w:t>
      </w:r>
      <w:r w:rsidR="00C40CD9">
        <w:rPr>
          <w:rFonts w:asciiTheme="minorHAnsi" w:hAnsiTheme="minorHAnsi"/>
          <w:bCs/>
          <w:color w:val="auto"/>
          <w:lang w:val="fr-FR"/>
        </w:rPr>
        <w:t>s</w:t>
      </w:r>
      <w:r w:rsidRPr="007920A9">
        <w:rPr>
          <w:rFonts w:asciiTheme="minorHAnsi" w:hAnsiTheme="minorHAnsi"/>
          <w:bCs/>
          <w:color w:val="auto"/>
          <w:lang w:val="fr-FR"/>
        </w:rPr>
        <w:t xml:space="preserve"> une priorité de toutes les administrations</w:t>
      </w:r>
    </w:p>
    <w:p w14:paraId="397CF7E6" w14:textId="77777777" w:rsidR="00133826" w:rsidRPr="007920A9" w:rsidRDefault="00133826" w:rsidP="008F3747">
      <w:pPr>
        <w:pStyle w:val="Default"/>
        <w:numPr>
          <w:ilvl w:val="0"/>
          <w:numId w:val="4"/>
        </w:numPr>
        <w:jc w:val="both"/>
        <w:rPr>
          <w:rFonts w:asciiTheme="minorHAnsi" w:hAnsiTheme="minorHAnsi"/>
          <w:bCs/>
          <w:color w:val="auto"/>
          <w:lang w:val="fr-FR"/>
        </w:rPr>
      </w:pPr>
      <w:r w:rsidRPr="007920A9">
        <w:rPr>
          <w:rFonts w:asciiTheme="minorHAnsi" w:hAnsiTheme="minorHAnsi"/>
          <w:bCs/>
          <w:color w:val="auto"/>
          <w:lang w:val="fr-FR"/>
        </w:rPr>
        <w:t>De nombreux ministères mènent des actions d’ouverture des données publique à leur niveau.</w:t>
      </w:r>
    </w:p>
    <w:p w14:paraId="4E92AABA" w14:textId="1D749F40" w:rsidR="00FA1BB6" w:rsidRPr="007920A9" w:rsidRDefault="00133826" w:rsidP="008F3747">
      <w:pPr>
        <w:pStyle w:val="Default"/>
        <w:numPr>
          <w:ilvl w:val="0"/>
          <w:numId w:val="4"/>
        </w:numPr>
        <w:jc w:val="both"/>
        <w:rPr>
          <w:rFonts w:asciiTheme="minorHAnsi" w:hAnsiTheme="minorHAnsi"/>
          <w:bCs/>
          <w:color w:val="auto"/>
          <w:lang w:val="fr-FR"/>
        </w:rPr>
      </w:pPr>
      <w:r w:rsidRPr="007920A9">
        <w:rPr>
          <w:rFonts w:asciiTheme="minorHAnsi" w:hAnsiTheme="minorHAnsi"/>
          <w:bCs/>
          <w:color w:val="auto"/>
          <w:lang w:val="fr-FR"/>
        </w:rPr>
        <w:t>Plusieurs initiatives locales aux niveaux des municipalités montre</w:t>
      </w:r>
      <w:r w:rsidR="007D35D3">
        <w:rPr>
          <w:rFonts w:asciiTheme="minorHAnsi" w:hAnsiTheme="minorHAnsi"/>
          <w:bCs/>
          <w:color w:val="auto"/>
          <w:lang w:val="fr-FR"/>
        </w:rPr>
        <w:t>nt</w:t>
      </w:r>
      <w:r w:rsidRPr="007920A9">
        <w:rPr>
          <w:rFonts w:asciiTheme="minorHAnsi" w:hAnsiTheme="minorHAnsi"/>
          <w:bCs/>
          <w:color w:val="auto"/>
          <w:lang w:val="fr-FR"/>
        </w:rPr>
        <w:t xml:space="preserve"> l’importance des thématiques de l’Open Data dans tout le pays.</w:t>
      </w:r>
    </w:p>
    <w:p w14:paraId="6BAC757D" w14:textId="323B8A11" w:rsidR="00B7216F" w:rsidRPr="007920A9" w:rsidRDefault="00133826" w:rsidP="008F3747">
      <w:pPr>
        <w:pStyle w:val="Default"/>
        <w:numPr>
          <w:ilvl w:val="0"/>
          <w:numId w:val="4"/>
        </w:numPr>
        <w:jc w:val="both"/>
        <w:rPr>
          <w:rFonts w:asciiTheme="minorHAnsi" w:hAnsiTheme="minorHAnsi"/>
          <w:bCs/>
          <w:color w:val="auto"/>
          <w:lang w:val="fr-FR"/>
        </w:rPr>
      </w:pPr>
      <w:r w:rsidRPr="007920A9">
        <w:rPr>
          <w:rFonts w:asciiTheme="minorHAnsi" w:hAnsiTheme="minorHAnsi"/>
          <w:bCs/>
          <w:color w:val="auto"/>
          <w:lang w:val="fr-FR"/>
        </w:rPr>
        <w:t>La publication des données est au centre de 3 plans essentiels du Gouvernement : L’initiative SmartGov 2020, le plan national stratégique Tunisie Digital 2020</w:t>
      </w:r>
      <w:r w:rsidRPr="007920A9">
        <w:rPr>
          <w:rStyle w:val="Appelnotedebasdep"/>
          <w:rFonts w:asciiTheme="minorHAnsi" w:hAnsiTheme="minorHAnsi"/>
          <w:bCs/>
          <w:color w:val="auto"/>
          <w:lang w:val="fr-FR"/>
        </w:rPr>
        <w:footnoteReference w:id="34"/>
      </w:r>
      <w:r w:rsidRPr="007920A9">
        <w:rPr>
          <w:rFonts w:asciiTheme="minorHAnsi" w:hAnsiTheme="minorHAnsi"/>
          <w:bCs/>
          <w:color w:val="auto"/>
          <w:lang w:val="fr-FR"/>
        </w:rPr>
        <w:t>, et le deuxième plan d’action du PGO</w:t>
      </w:r>
      <w:r w:rsidRPr="007920A9">
        <w:rPr>
          <w:rStyle w:val="Appelnotedebasdep"/>
          <w:rFonts w:asciiTheme="minorHAnsi" w:hAnsiTheme="minorHAnsi"/>
          <w:bCs/>
          <w:color w:val="auto"/>
          <w:lang w:val="fr-FR"/>
        </w:rPr>
        <w:footnoteReference w:id="35"/>
      </w:r>
      <w:r w:rsidRPr="007920A9">
        <w:rPr>
          <w:rFonts w:asciiTheme="minorHAnsi" w:hAnsiTheme="minorHAnsi"/>
          <w:bCs/>
          <w:color w:val="auto"/>
          <w:lang w:val="fr-FR"/>
        </w:rPr>
        <w:t>.</w:t>
      </w:r>
    </w:p>
    <w:p w14:paraId="4FFA4A07" w14:textId="155FE63D" w:rsidR="008B3687" w:rsidRDefault="00B7216F" w:rsidP="008F3747">
      <w:pPr>
        <w:pStyle w:val="Default"/>
        <w:numPr>
          <w:ilvl w:val="0"/>
          <w:numId w:val="4"/>
        </w:numPr>
        <w:jc w:val="both"/>
        <w:rPr>
          <w:rFonts w:asciiTheme="minorHAnsi" w:hAnsiTheme="minorHAnsi"/>
          <w:bCs/>
          <w:color w:val="auto"/>
          <w:lang w:val="fr-FR"/>
        </w:rPr>
      </w:pPr>
      <w:r w:rsidRPr="007920A9">
        <w:rPr>
          <w:rFonts w:asciiTheme="minorHAnsi" w:hAnsiTheme="minorHAnsi"/>
          <w:bCs/>
          <w:color w:val="auto"/>
          <w:lang w:val="fr-FR"/>
        </w:rPr>
        <w:t>Le développement du secteur des TIC et de l’innovation est un axe important du Gouvernement</w:t>
      </w:r>
      <w:r w:rsidR="00133826" w:rsidRPr="007920A9">
        <w:rPr>
          <w:rFonts w:asciiTheme="minorHAnsi" w:hAnsiTheme="minorHAnsi"/>
          <w:bCs/>
          <w:color w:val="auto"/>
          <w:lang w:val="fr-FR"/>
        </w:rPr>
        <w:t xml:space="preserve"> et du plan national </w:t>
      </w:r>
      <w:r w:rsidR="00DF0FEE" w:rsidRPr="007920A9">
        <w:rPr>
          <w:rFonts w:asciiTheme="minorHAnsi" w:hAnsiTheme="minorHAnsi"/>
          <w:bCs/>
          <w:color w:val="auto"/>
          <w:lang w:val="fr-FR"/>
        </w:rPr>
        <w:t>stratégique</w:t>
      </w:r>
      <w:r w:rsidR="00133826" w:rsidRPr="007920A9">
        <w:rPr>
          <w:rFonts w:asciiTheme="minorHAnsi" w:hAnsiTheme="minorHAnsi"/>
          <w:bCs/>
          <w:color w:val="auto"/>
          <w:lang w:val="fr-FR"/>
        </w:rPr>
        <w:t xml:space="preserve"> Tunisie Digital 2020</w:t>
      </w:r>
      <w:r w:rsidRPr="007920A9">
        <w:rPr>
          <w:rFonts w:asciiTheme="minorHAnsi" w:hAnsiTheme="minorHAnsi"/>
          <w:bCs/>
          <w:color w:val="auto"/>
          <w:lang w:val="fr-FR"/>
        </w:rPr>
        <w:t xml:space="preserve">. </w:t>
      </w:r>
    </w:p>
    <w:p w14:paraId="1B106B1C" w14:textId="04DD2EBE" w:rsidR="001D49C5" w:rsidRPr="007920A9" w:rsidRDefault="001D49C5" w:rsidP="00D5699E">
      <w:pPr>
        <w:pStyle w:val="Default"/>
        <w:numPr>
          <w:ilvl w:val="0"/>
          <w:numId w:val="54"/>
        </w:numPr>
        <w:jc w:val="both"/>
        <w:rPr>
          <w:rFonts w:asciiTheme="minorHAnsi" w:hAnsiTheme="minorHAnsi"/>
          <w:bCs/>
          <w:color w:val="auto"/>
          <w:lang w:val="fr-FR"/>
        </w:rPr>
      </w:pPr>
      <w:r>
        <w:rPr>
          <w:rFonts w:asciiTheme="minorHAnsi" w:hAnsiTheme="minorHAnsi"/>
          <w:bCs/>
          <w:color w:val="auto"/>
          <w:lang w:val="fr-FR"/>
        </w:rPr>
        <w:t xml:space="preserve">Même si la Révolution de 2011 a largement </w:t>
      </w:r>
      <w:r w:rsidR="006B5D45">
        <w:rPr>
          <w:rFonts w:asciiTheme="minorHAnsi" w:hAnsiTheme="minorHAnsi"/>
          <w:bCs/>
          <w:color w:val="auto"/>
          <w:lang w:val="fr-FR"/>
        </w:rPr>
        <w:t>engagé</w:t>
      </w:r>
      <w:r>
        <w:rPr>
          <w:rFonts w:asciiTheme="minorHAnsi" w:hAnsiTheme="minorHAnsi"/>
          <w:bCs/>
          <w:color w:val="auto"/>
          <w:lang w:val="fr-FR"/>
        </w:rPr>
        <w:t xml:space="preserve"> la Tunisie sur la voie de l’ouverture, </w:t>
      </w:r>
      <w:r w:rsidR="00AE3F4F">
        <w:rPr>
          <w:rFonts w:asciiTheme="minorHAnsi" w:hAnsiTheme="minorHAnsi"/>
          <w:bCs/>
          <w:color w:val="auto"/>
          <w:lang w:val="fr-FR"/>
        </w:rPr>
        <w:t>l’administration est encore largem</w:t>
      </w:r>
      <w:r w:rsidR="006B5D45">
        <w:rPr>
          <w:rFonts w:asciiTheme="minorHAnsi" w:hAnsiTheme="minorHAnsi"/>
          <w:bCs/>
          <w:color w:val="auto"/>
          <w:lang w:val="fr-FR"/>
        </w:rPr>
        <w:t>ent issue du précédent régime où</w:t>
      </w:r>
      <w:r w:rsidR="00AE3F4F">
        <w:rPr>
          <w:rFonts w:asciiTheme="minorHAnsi" w:hAnsiTheme="minorHAnsi"/>
          <w:bCs/>
          <w:color w:val="auto"/>
          <w:lang w:val="fr-FR"/>
        </w:rPr>
        <w:t xml:space="preserve"> </w:t>
      </w:r>
      <w:r w:rsidR="006B5D45">
        <w:rPr>
          <w:rFonts w:asciiTheme="minorHAnsi" w:hAnsiTheme="minorHAnsi"/>
          <w:bCs/>
          <w:color w:val="auto"/>
          <w:lang w:val="fr-FR"/>
        </w:rPr>
        <w:t>la loi</w:t>
      </w:r>
      <w:r w:rsidR="00AE3F4F">
        <w:rPr>
          <w:rFonts w:asciiTheme="minorHAnsi" w:hAnsiTheme="minorHAnsi"/>
          <w:bCs/>
          <w:color w:val="auto"/>
          <w:lang w:val="fr-FR"/>
        </w:rPr>
        <w:t xml:space="preserve"> du secret était la norme. Il reste donc dans certaines administrations des résistances marquées à l’ouverture.</w:t>
      </w:r>
    </w:p>
    <w:p w14:paraId="6CC6FBCE" w14:textId="77777777" w:rsidR="00B7216F" w:rsidRPr="007920A9" w:rsidRDefault="00B7216F" w:rsidP="00026C12">
      <w:pPr>
        <w:pStyle w:val="Default"/>
        <w:ind w:left="360"/>
        <w:jc w:val="both"/>
        <w:rPr>
          <w:rFonts w:asciiTheme="minorHAnsi" w:hAnsiTheme="minorHAnsi"/>
          <w:bCs/>
          <w:color w:val="auto"/>
          <w:lang w:val="fr-FR"/>
        </w:rPr>
      </w:pPr>
    </w:p>
    <w:p w14:paraId="28B6F0AB" w14:textId="77777777" w:rsidR="00B7216F" w:rsidRPr="007920A9" w:rsidRDefault="00B7216F" w:rsidP="00026C12">
      <w:pPr>
        <w:pStyle w:val="Default"/>
        <w:ind w:left="360"/>
        <w:jc w:val="both"/>
        <w:rPr>
          <w:rFonts w:asciiTheme="minorHAnsi" w:hAnsiTheme="minorHAnsi"/>
          <w:bCs/>
          <w:color w:val="auto"/>
          <w:lang w:val="fr-FR"/>
        </w:rPr>
      </w:pPr>
    </w:p>
    <w:p w14:paraId="0D3B9A14" w14:textId="15B98968" w:rsidR="00FA1BB6" w:rsidRPr="007920A9" w:rsidRDefault="00FA1BB6" w:rsidP="008F3747">
      <w:pPr>
        <w:pStyle w:val="Default"/>
        <w:numPr>
          <w:ilvl w:val="1"/>
          <w:numId w:val="1"/>
        </w:numPr>
        <w:jc w:val="both"/>
        <w:rPr>
          <w:rFonts w:asciiTheme="minorHAnsi" w:hAnsiTheme="minorHAnsi"/>
          <w:b/>
          <w:bCs/>
          <w:color w:val="auto"/>
          <w:lang w:val="fr-FR"/>
        </w:rPr>
      </w:pPr>
      <w:r w:rsidRPr="007920A9">
        <w:rPr>
          <w:rFonts w:asciiTheme="minorHAnsi" w:hAnsiTheme="minorHAnsi"/>
          <w:b/>
          <w:bCs/>
          <w:color w:val="auto"/>
          <w:lang w:val="fr-FR"/>
        </w:rPr>
        <w:t xml:space="preserve">Quelle est la position de la </w:t>
      </w:r>
      <w:r w:rsidR="00A22EAA" w:rsidRPr="007920A9">
        <w:rPr>
          <w:rFonts w:asciiTheme="minorHAnsi" w:hAnsiTheme="minorHAnsi"/>
          <w:b/>
          <w:bCs/>
          <w:color w:val="auto"/>
          <w:lang w:val="fr-FR"/>
        </w:rPr>
        <w:t xml:space="preserve">République </w:t>
      </w:r>
      <w:r w:rsidR="00E51F70" w:rsidRPr="007920A9">
        <w:rPr>
          <w:rFonts w:asciiTheme="minorHAnsi" w:hAnsiTheme="minorHAnsi"/>
          <w:b/>
          <w:bCs/>
          <w:color w:val="auto"/>
          <w:lang w:val="fr-FR"/>
        </w:rPr>
        <w:t>Tunisienne</w:t>
      </w:r>
      <w:r w:rsidRPr="007920A9">
        <w:rPr>
          <w:rFonts w:asciiTheme="minorHAnsi" w:hAnsiTheme="minorHAnsi"/>
          <w:b/>
          <w:bCs/>
          <w:color w:val="auto"/>
          <w:lang w:val="fr-FR"/>
        </w:rPr>
        <w:t xml:space="preserve"> en ce qui concerne l’adhésion au Partenariat pour un Gouvernement ouvert (PGO - en anglais : Open Government Partnership ou OGP</w:t>
      </w:r>
      <w:r w:rsidRPr="007920A9">
        <w:rPr>
          <w:rStyle w:val="Appelnotedebasdep"/>
          <w:rFonts w:asciiTheme="minorHAnsi" w:hAnsiTheme="minorHAnsi"/>
          <w:b/>
          <w:bCs/>
          <w:color w:val="auto"/>
          <w:lang w:val="fr-FR"/>
        </w:rPr>
        <w:footnoteReference w:id="36"/>
      </w:r>
      <w:r w:rsidRPr="007920A9">
        <w:rPr>
          <w:rFonts w:asciiTheme="minorHAnsi" w:hAnsiTheme="minorHAnsi"/>
          <w:b/>
          <w:bCs/>
          <w:color w:val="auto"/>
          <w:lang w:val="fr-FR"/>
        </w:rPr>
        <w:t xml:space="preserve">) (Importance: Moyenne). </w:t>
      </w:r>
      <w:r w:rsidR="00B7216F" w:rsidRPr="007920A9">
        <w:rPr>
          <w:rFonts w:asciiTheme="minorHAnsi" w:hAnsiTheme="minorHAnsi"/>
          <w:b/>
          <w:bCs/>
          <w:color w:val="auto"/>
          <w:lang w:val="fr-FR"/>
        </w:rPr>
        <w:t xml:space="preserve"> </w:t>
      </w:r>
      <w:r w:rsidR="00DF0FEE" w:rsidRPr="007920A9">
        <w:rPr>
          <w:rFonts w:asciiTheme="minorHAnsi" w:hAnsiTheme="minorHAnsi"/>
          <w:b/>
          <w:bCs/>
          <w:color w:val="auto"/>
          <w:highlight w:val="green"/>
          <w:lang w:val="fr-FR"/>
        </w:rPr>
        <w:t>VERT</w:t>
      </w:r>
    </w:p>
    <w:p w14:paraId="4292AF75" w14:textId="77777777" w:rsidR="008B3687" w:rsidRPr="007920A9" w:rsidRDefault="008B3687" w:rsidP="00026C12">
      <w:pPr>
        <w:pStyle w:val="Default"/>
        <w:ind w:left="360"/>
        <w:jc w:val="both"/>
        <w:rPr>
          <w:rFonts w:asciiTheme="minorHAnsi" w:hAnsiTheme="minorHAnsi"/>
          <w:b/>
          <w:bCs/>
          <w:color w:val="auto"/>
          <w:lang w:val="fr-FR"/>
        </w:rPr>
      </w:pPr>
    </w:p>
    <w:p w14:paraId="1061EC34" w14:textId="3D313B07" w:rsidR="008B3687" w:rsidRPr="007920A9" w:rsidRDefault="00DF0FEE" w:rsidP="008F3747">
      <w:pPr>
        <w:pStyle w:val="Paragraphedeliste"/>
        <w:numPr>
          <w:ilvl w:val="0"/>
          <w:numId w:val="2"/>
        </w:numPr>
        <w:jc w:val="both"/>
        <w:rPr>
          <w:rFonts w:cs="Arial"/>
          <w:bCs/>
          <w:sz w:val="24"/>
          <w:szCs w:val="24"/>
        </w:rPr>
      </w:pPr>
      <w:r w:rsidRPr="007920A9">
        <w:rPr>
          <w:rFonts w:cs="Arial"/>
          <w:bCs/>
          <w:sz w:val="24"/>
          <w:szCs w:val="24"/>
        </w:rPr>
        <w:t>La Tunisie est membre du PGO depuis 2014</w:t>
      </w:r>
    </w:p>
    <w:p w14:paraId="24B25D67" w14:textId="2D63F787" w:rsidR="00DF0FEE" w:rsidRDefault="00DF0FEE" w:rsidP="008F3747">
      <w:pPr>
        <w:pStyle w:val="Paragraphedeliste"/>
        <w:numPr>
          <w:ilvl w:val="0"/>
          <w:numId w:val="2"/>
        </w:numPr>
        <w:jc w:val="both"/>
        <w:rPr>
          <w:rFonts w:cs="Arial"/>
          <w:bCs/>
          <w:sz w:val="24"/>
          <w:szCs w:val="24"/>
        </w:rPr>
      </w:pPr>
      <w:r w:rsidRPr="007920A9">
        <w:rPr>
          <w:rFonts w:cs="Arial"/>
          <w:bCs/>
          <w:sz w:val="24"/>
          <w:szCs w:val="24"/>
        </w:rPr>
        <w:t>La Tunisie a mis en place et exécuté un plan de concertation nationale pour la définition et l’adoption du premier et du deuxième plan d’action</w:t>
      </w:r>
      <w:r w:rsidRPr="007920A9">
        <w:rPr>
          <w:rStyle w:val="Appelnotedebasdep"/>
          <w:rFonts w:cs="Arial"/>
          <w:bCs/>
          <w:sz w:val="24"/>
          <w:szCs w:val="24"/>
        </w:rPr>
        <w:footnoteReference w:id="37"/>
      </w:r>
    </w:p>
    <w:p w14:paraId="6F1BCE88" w14:textId="64DAAE14" w:rsidR="001D49C5" w:rsidRPr="007920A9" w:rsidRDefault="001D49C5" w:rsidP="008F3747">
      <w:pPr>
        <w:pStyle w:val="Paragraphedeliste"/>
        <w:numPr>
          <w:ilvl w:val="0"/>
          <w:numId w:val="2"/>
        </w:numPr>
        <w:jc w:val="both"/>
        <w:rPr>
          <w:rFonts w:cs="Arial"/>
          <w:bCs/>
          <w:sz w:val="24"/>
          <w:szCs w:val="24"/>
        </w:rPr>
      </w:pPr>
      <w:r>
        <w:rPr>
          <w:rFonts w:cs="Arial"/>
          <w:bCs/>
          <w:sz w:val="24"/>
          <w:szCs w:val="24"/>
        </w:rPr>
        <w:t xml:space="preserve">L’ensemble des Ministères rencontrés lors de la mission </w:t>
      </w:r>
      <w:r w:rsidR="007D35D3">
        <w:rPr>
          <w:rFonts w:cs="Arial"/>
          <w:bCs/>
          <w:sz w:val="24"/>
          <w:szCs w:val="24"/>
        </w:rPr>
        <w:t xml:space="preserve">qui sont </w:t>
      </w:r>
      <w:r>
        <w:rPr>
          <w:rFonts w:cs="Arial"/>
          <w:bCs/>
          <w:sz w:val="24"/>
          <w:szCs w:val="24"/>
        </w:rPr>
        <w:t xml:space="preserve"> impliqués dans un </w:t>
      </w:r>
      <w:r w:rsidR="006B5D45">
        <w:rPr>
          <w:rFonts w:cs="Arial"/>
          <w:bCs/>
          <w:sz w:val="24"/>
          <w:szCs w:val="24"/>
        </w:rPr>
        <w:t>ou plusieurs engagements</w:t>
      </w:r>
      <w:r>
        <w:rPr>
          <w:rFonts w:cs="Arial"/>
          <w:bCs/>
          <w:sz w:val="24"/>
          <w:szCs w:val="24"/>
        </w:rPr>
        <w:t xml:space="preserve"> du plan d’action sont particulièrement investis dans la réalisation de ces objectifs</w:t>
      </w:r>
    </w:p>
    <w:p w14:paraId="4B92CADE" w14:textId="77777777" w:rsidR="002E4657" w:rsidRPr="007920A9" w:rsidRDefault="002E4657" w:rsidP="00026C12">
      <w:pPr>
        <w:pStyle w:val="Sous-titre"/>
        <w:spacing w:before="0" w:after="0"/>
        <w:jc w:val="both"/>
        <w:rPr>
          <w:rStyle w:val="Emphaseple"/>
          <w:color w:val="auto"/>
          <w:lang w:val="fr-FR"/>
        </w:rPr>
      </w:pPr>
      <w:r w:rsidRPr="007920A9">
        <w:rPr>
          <w:rStyle w:val="Emphaseple"/>
          <w:color w:val="auto"/>
          <w:lang w:val="fr-FR"/>
        </w:rPr>
        <w:t>Evaluation de la dimension Leadership</w:t>
      </w:r>
    </w:p>
    <w:p w14:paraId="597D76E5" w14:textId="77777777" w:rsidR="002E4657" w:rsidRPr="007920A9" w:rsidRDefault="002E4657" w:rsidP="00026C12">
      <w:pPr>
        <w:jc w:val="both"/>
        <w:rPr>
          <w:sz w:val="2"/>
          <w:szCs w:val="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701"/>
        <w:gridCol w:w="1276"/>
        <w:gridCol w:w="4961"/>
      </w:tblGrid>
      <w:tr w:rsidR="002E4657" w:rsidRPr="007920A9" w14:paraId="3FBC40B4" w14:textId="77777777" w:rsidTr="005900E6">
        <w:trPr>
          <w:cantSplit/>
          <w:trHeight w:val="461"/>
          <w:tblHeader/>
        </w:trPr>
        <w:tc>
          <w:tcPr>
            <w:tcW w:w="1951" w:type="dxa"/>
            <w:shd w:val="clear" w:color="auto" w:fill="D9D9D9" w:themeFill="background1" w:themeFillShade="D9"/>
            <w:vAlign w:val="center"/>
          </w:tcPr>
          <w:p w14:paraId="3D471DA3" w14:textId="77777777" w:rsidR="002E4657" w:rsidRPr="007920A9" w:rsidRDefault="002E4657" w:rsidP="00026C12">
            <w:pPr>
              <w:spacing w:after="0"/>
              <w:jc w:val="both"/>
              <w:rPr>
                <w:b/>
              </w:rPr>
            </w:pPr>
            <w:r w:rsidRPr="007920A9">
              <w:rPr>
                <w:b/>
              </w:rPr>
              <w:t>Domaine</w:t>
            </w:r>
          </w:p>
        </w:tc>
        <w:tc>
          <w:tcPr>
            <w:tcW w:w="1701" w:type="dxa"/>
            <w:shd w:val="clear" w:color="auto" w:fill="D9D9D9" w:themeFill="background1" w:themeFillShade="D9"/>
            <w:vAlign w:val="center"/>
          </w:tcPr>
          <w:p w14:paraId="6C48C603" w14:textId="77777777" w:rsidR="002E4657" w:rsidRPr="007920A9" w:rsidRDefault="002E4657" w:rsidP="00026C12">
            <w:pPr>
              <w:spacing w:after="0"/>
              <w:jc w:val="both"/>
              <w:rPr>
                <w:b/>
              </w:rPr>
            </w:pPr>
            <w:r w:rsidRPr="007920A9">
              <w:rPr>
                <w:b/>
              </w:rPr>
              <w:t>Importance</w:t>
            </w:r>
          </w:p>
        </w:tc>
        <w:tc>
          <w:tcPr>
            <w:tcW w:w="1276" w:type="dxa"/>
            <w:shd w:val="clear" w:color="auto" w:fill="D9D9D9" w:themeFill="background1" w:themeFillShade="D9"/>
            <w:vAlign w:val="center"/>
          </w:tcPr>
          <w:p w14:paraId="3EE14C16" w14:textId="77777777" w:rsidR="002E4657" w:rsidRPr="007920A9" w:rsidRDefault="002E4657" w:rsidP="00026C12">
            <w:pPr>
              <w:spacing w:after="0"/>
              <w:jc w:val="both"/>
              <w:rPr>
                <w:b/>
              </w:rPr>
            </w:pPr>
            <w:r w:rsidRPr="007920A9">
              <w:rPr>
                <w:b/>
              </w:rPr>
              <w:t>Evaluation</w:t>
            </w:r>
          </w:p>
        </w:tc>
        <w:tc>
          <w:tcPr>
            <w:tcW w:w="4961" w:type="dxa"/>
            <w:shd w:val="clear" w:color="auto" w:fill="D9D9D9" w:themeFill="background1" w:themeFillShade="D9"/>
            <w:vAlign w:val="center"/>
          </w:tcPr>
          <w:p w14:paraId="6430D084" w14:textId="77777777" w:rsidR="002E4657" w:rsidRPr="007920A9" w:rsidRDefault="002E4657" w:rsidP="00026C12">
            <w:pPr>
              <w:spacing w:after="0"/>
              <w:jc w:val="both"/>
              <w:rPr>
                <w:b/>
              </w:rPr>
            </w:pPr>
            <w:r w:rsidRPr="007920A9">
              <w:rPr>
                <w:b/>
              </w:rPr>
              <w:t>Commentaires</w:t>
            </w:r>
          </w:p>
        </w:tc>
      </w:tr>
      <w:tr w:rsidR="002E4657" w:rsidRPr="007920A9" w14:paraId="3D9F2452" w14:textId="77777777" w:rsidTr="005900E6">
        <w:tc>
          <w:tcPr>
            <w:tcW w:w="1951" w:type="dxa"/>
            <w:vAlign w:val="center"/>
          </w:tcPr>
          <w:p w14:paraId="340B10AF" w14:textId="77777777" w:rsidR="002E4657" w:rsidRPr="007920A9" w:rsidRDefault="002E4657" w:rsidP="00026C12">
            <w:pPr>
              <w:spacing w:after="0"/>
              <w:jc w:val="both"/>
              <w:rPr>
                <w:b/>
              </w:rPr>
            </w:pPr>
            <w:r w:rsidRPr="007920A9">
              <w:rPr>
                <w:b/>
              </w:rPr>
              <w:t>Volonté Politique</w:t>
            </w:r>
          </w:p>
        </w:tc>
        <w:tc>
          <w:tcPr>
            <w:tcW w:w="1701" w:type="dxa"/>
            <w:vAlign w:val="center"/>
          </w:tcPr>
          <w:p w14:paraId="278BD481" w14:textId="77777777" w:rsidR="002E4657" w:rsidRPr="007920A9" w:rsidRDefault="002E4657" w:rsidP="00026C12">
            <w:pPr>
              <w:spacing w:after="0"/>
              <w:jc w:val="both"/>
            </w:pPr>
            <w:r w:rsidRPr="007920A9">
              <w:rPr>
                <w:b/>
                <w:bCs/>
              </w:rPr>
              <w:t>Très Élevée</w:t>
            </w:r>
          </w:p>
        </w:tc>
        <w:tc>
          <w:tcPr>
            <w:tcW w:w="1276" w:type="dxa"/>
            <w:shd w:val="clear" w:color="auto" w:fill="auto"/>
            <w:vAlign w:val="center"/>
          </w:tcPr>
          <w:p w14:paraId="3A6424EB" w14:textId="34E0C0C7" w:rsidR="002E4657" w:rsidRPr="007920A9" w:rsidRDefault="001D49C5" w:rsidP="00026C12">
            <w:pPr>
              <w:spacing w:after="0"/>
              <w:jc w:val="both"/>
              <w:rPr>
                <w:highlight w:val="lightGray"/>
              </w:rPr>
            </w:pPr>
            <w:r w:rsidRPr="001D49C5">
              <w:rPr>
                <w:b/>
                <w:bCs/>
                <w:highlight w:val="yellow"/>
              </w:rPr>
              <w:t>JAUNE</w:t>
            </w:r>
            <w:r w:rsidRPr="001D49C5">
              <w:rPr>
                <w:b/>
                <w:bCs/>
              </w:rPr>
              <w:t xml:space="preserve">/ </w:t>
            </w:r>
            <w:r w:rsidR="00B7216F" w:rsidRPr="007920A9">
              <w:rPr>
                <w:b/>
                <w:bCs/>
                <w:highlight w:val="green"/>
              </w:rPr>
              <w:t>VERT</w:t>
            </w:r>
          </w:p>
        </w:tc>
        <w:tc>
          <w:tcPr>
            <w:tcW w:w="4961" w:type="dxa"/>
            <w:vAlign w:val="center"/>
          </w:tcPr>
          <w:p w14:paraId="2EE90CDC" w14:textId="3455279B" w:rsidR="002E4657" w:rsidRPr="007920A9" w:rsidRDefault="00B7216F" w:rsidP="00026C12">
            <w:pPr>
              <w:spacing w:after="0"/>
              <w:jc w:val="both"/>
            </w:pPr>
            <w:r w:rsidRPr="007920A9">
              <w:t xml:space="preserve">Il existe une volonté politique claire au niveau le plus haut de l’état pour la promotion de la transparence </w:t>
            </w:r>
            <w:r w:rsidR="00DF0FEE" w:rsidRPr="007920A9">
              <w:t>de gouvernance et la publication de données ouvertes. Cette volonté politique est stable depuis la révolution populaire de 2011</w:t>
            </w:r>
            <w:r w:rsidR="003C0F2A">
              <w:t>,</w:t>
            </w:r>
            <w:r w:rsidR="00DF0FEE" w:rsidRPr="007920A9">
              <w:t xml:space="preserve"> et ce malgré la succession de nombreux gouvernements.</w:t>
            </w:r>
            <w:r w:rsidRPr="007920A9">
              <w:t xml:space="preserve"> </w:t>
            </w:r>
            <w:r w:rsidR="001D49C5">
              <w:t>Cependant, en ce qui concerne les initiatives spécifiques comme le plan PGO ou l’ouverture des données, le fait qu’il n’y ait pas à ce jour un engagement clair de la part du Président</w:t>
            </w:r>
            <w:r w:rsidR="009E42EF">
              <w:t xml:space="preserve"> de la République</w:t>
            </w:r>
            <w:r w:rsidR="001D49C5">
              <w:t xml:space="preserve"> ou du </w:t>
            </w:r>
            <w:r w:rsidR="009E42EF">
              <w:t>Chef du Gouvernement</w:t>
            </w:r>
            <w:r w:rsidR="001D49C5">
              <w:t xml:space="preserve"> impacte de façon négative l’implémentation de ces initiatives qui deviennent dépendante</w:t>
            </w:r>
            <w:r w:rsidR="003C0F2A">
              <w:t>s</w:t>
            </w:r>
            <w:r w:rsidR="001D49C5">
              <w:t xml:space="preserve"> de la vision et de la personnalité des Ministres.</w:t>
            </w:r>
          </w:p>
        </w:tc>
      </w:tr>
      <w:tr w:rsidR="002E4657" w:rsidRPr="007920A9" w14:paraId="4A899852" w14:textId="77777777" w:rsidTr="005900E6">
        <w:tc>
          <w:tcPr>
            <w:tcW w:w="1951" w:type="dxa"/>
            <w:vAlign w:val="center"/>
          </w:tcPr>
          <w:p w14:paraId="1D4133CF" w14:textId="77777777" w:rsidR="002E4657" w:rsidRPr="007920A9" w:rsidRDefault="002E4657" w:rsidP="00026C12">
            <w:pPr>
              <w:spacing w:after="0"/>
              <w:jc w:val="both"/>
              <w:rPr>
                <w:b/>
              </w:rPr>
            </w:pPr>
            <w:r w:rsidRPr="007920A9">
              <w:rPr>
                <w:b/>
              </w:rPr>
              <w:t>Structure Politique</w:t>
            </w:r>
          </w:p>
        </w:tc>
        <w:tc>
          <w:tcPr>
            <w:tcW w:w="1701" w:type="dxa"/>
            <w:vAlign w:val="center"/>
          </w:tcPr>
          <w:p w14:paraId="696D53C1" w14:textId="77777777" w:rsidR="002E4657" w:rsidRPr="007920A9" w:rsidRDefault="002E4657" w:rsidP="00026C12">
            <w:pPr>
              <w:spacing w:after="0"/>
              <w:jc w:val="both"/>
            </w:pPr>
            <w:r w:rsidRPr="007920A9">
              <w:rPr>
                <w:b/>
                <w:bCs/>
              </w:rPr>
              <w:t>Élevée</w:t>
            </w:r>
          </w:p>
        </w:tc>
        <w:tc>
          <w:tcPr>
            <w:tcW w:w="1276" w:type="dxa"/>
            <w:tcBorders>
              <w:bottom w:val="single" w:sz="4" w:space="0" w:color="auto"/>
            </w:tcBorders>
            <w:shd w:val="clear" w:color="auto" w:fill="auto"/>
            <w:vAlign w:val="center"/>
          </w:tcPr>
          <w:p w14:paraId="2232FEDD" w14:textId="64AEA362" w:rsidR="002E4657" w:rsidRPr="007920A9" w:rsidRDefault="00B7216F" w:rsidP="00026C12">
            <w:pPr>
              <w:spacing w:after="0"/>
              <w:jc w:val="both"/>
              <w:rPr>
                <w:highlight w:val="yellow"/>
              </w:rPr>
            </w:pPr>
            <w:r w:rsidRPr="007920A9">
              <w:rPr>
                <w:b/>
                <w:bCs/>
                <w:highlight w:val="green"/>
              </w:rPr>
              <w:t>VERT</w:t>
            </w:r>
          </w:p>
        </w:tc>
        <w:tc>
          <w:tcPr>
            <w:tcW w:w="4961" w:type="dxa"/>
            <w:vAlign w:val="center"/>
          </w:tcPr>
          <w:p w14:paraId="19681F68" w14:textId="67AC17BB" w:rsidR="002E4657" w:rsidRPr="007920A9" w:rsidRDefault="00B7216F" w:rsidP="00026C12">
            <w:pPr>
              <w:pStyle w:val="En-tte"/>
              <w:tabs>
                <w:tab w:val="clear" w:pos="4513"/>
                <w:tab w:val="clear" w:pos="9026"/>
              </w:tabs>
              <w:spacing w:before="0" w:after="0"/>
              <w:jc w:val="both"/>
              <w:rPr>
                <w:sz w:val="22"/>
                <w:szCs w:val="22"/>
                <w:lang w:val="fr-FR"/>
              </w:rPr>
            </w:pPr>
            <w:r w:rsidRPr="007920A9">
              <w:rPr>
                <w:sz w:val="22"/>
                <w:szCs w:val="22"/>
                <w:lang w:val="fr-FR"/>
              </w:rPr>
              <w:t xml:space="preserve">Le processus pour la mise en place d’initiative inter-gouvernementale est clairement établi. </w:t>
            </w:r>
            <w:r w:rsidR="00DF0FEE" w:rsidRPr="007920A9">
              <w:rPr>
                <w:sz w:val="22"/>
                <w:szCs w:val="22"/>
                <w:lang w:val="fr-FR"/>
              </w:rPr>
              <w:t>L’ensemble des agences essentielles pour la gestion d’une initiative Open Data sont clairement identifiées et sont directement rattachées à la Présidence du Gouvernement</w:t>
            </w:r>
          </w:p>
        </w:tc>
      </w:tr>
      <w:tr w:rsidR="002E4657" w:rsidRPr="007920A9" w14:paraId="00DF5A0C" w14:textId="77777777" w:rsidTr="005900E6">
        <w:tc>
          <w:tcPr>
            <w:tcW w:w="1951" w:type="dxa"/>
            <w:vAlign w:val="center"/>
          </w:tcPr>
          <w:p w14:paraId="1BA55CD4" w14:textId="77777777" w:rsidR="002E4657" w:rsidRPr="007920A9" w:rsidRDefault="002E4657" w:rsidP="00026C12">
            <w:pPr>
              <w:spacing w:after="0"/>
              <w:jc w:val="both"/>
              <w:rPr>
                <w:b/>
              </w:rPr>
            </w:pPr>
            <w:r w:rsidRPr="007920A9">
              <w:rPr>
                <w:b/>
              </w:rPr>
              <w:t>Activités Existantes</w:t>
            </w:r>
          </w:p>
        </w:tc>
        <w:tc>
          <w:tcPr>
            <w:tcW w:w="1701" w:type="dxa"/>
            <w:vAlign w:val="center"/>
          </w:tcPr>
          <w:p w14:paraId="31E6FF18" w14:textId="77777777" w:rsidR="002E4657" w:rsidRPr="007920A9" w:rsidRDefault="002E4657" w:rsidP="00026C12">
            <w:pPr>
              <w:spacing w:after="0"/>
              <w:jc w:val="both"/>
            </w:pPr>
            <w:r w:rsidRPr="007920A9">
              <w:rPr>
                <w:b/>
                <w:bCs/>
              </w:rPr>
              <w:t>Moyennement Élevée</w:t>
            </w:r>
          </w:p>
        </w:tc>
        <w:tc>
          <w:tcPr>
            <w:tcW w:w="1276" w:type="dxa"/>
            <w:tcBorders>
              <w:bottom w:val="single" w:sz="4" w:space="0" w:color="auto"/>
            </w:tcBorders>
            <w:shd w:val="clear" w:color="auto" w:fill="auto"/>
            <w:vAlign w:val="center"/>
          </w:tcPr>
          <w:p w14:paraId="05D4F98A" w14:textId="77777777" w:rsidR="002E4657" w:rsidRPr="007920A9" w:rsidRDefault="00B7216F" w:rsidP="00026C12">
            <w:pPr>
              <w:spacing w:after="0"/>
              <w:jc w:val="both"/>
              <w:rPr>
                <w:b/>
                <w:highlight w:val="yellow"/>
              </w:rPr>
            </w:pPr>
            <w:r w:rsidRPr="007920A9">
              <w:rPr>
                <w:b/>
                <w:bCs/>
                <w:highlight w:val="green"/>
              </w:rPr>
              <w:t>VERT</w:t>
            </w:r>
          </w:p>
        </w:tc>
        <w:tc>
          <w:tcPr>
            <w:tcW w:w="4961" w:type="dxa"/>
            <w:vAlign w:val="center"/>
          </w:tcPr>
          <w:p w14:paraId="5675D0FD" w14:textId="7CFDC502" w:rsidR="002E4657" w:rsidRPr="007920A9" w:rsidRDefault="00B7216F" w:rsidP="00026C12">
            <w:pPr>
              <w:spacing w:after="0"/>
              <w:jc w:val="both"/>
            </w:pPr>
            <w:r w:rsidRPr="007920A9">
              <w:t xml:space="preserve">La </w:t>
            </w:r>
            <w:r w:rsidR="00DF0FEE" w:rsidRPr="007920A9">
              <w:t>Tunisie</w:t>
            </w:r>
            <w:r w:rsidRPr="007920A9">
              <w:t xml:space="preserve"> est impliquée dans plusieurs initiatives de transparences qui publient déjà quantité de données</w:t>
            </w:r>
            <w:r w:rsidR="00DF0FEE" w:rsidRPr="007920A9">
              <w:t xml:space="preserve">. Le Portail </w:t>
            </w:r>
            <w:r w:rsidR="00E47607">
              <w:t>national</w:t>
            </w:r>
            <w:r w:rsidR="00E47607" w:rsidRPr="007920A9">
              <w:t xml:space="preserve"> </w:t>
            </w:r>
            <w:r w:rsidR="00DF0FEE" w:rsidRPr="007920A9">
              <w:t>de données publiques est régulièrement mis à jour. De nombreux ministères publient leurs données</w:t>
            </w:r>
            <w:r w:rsidR="005761D2">
              <w:t xml:space="preserve"> sur ce portail central ou sur leur propre portail</w:t>
            </w:r>
            <w:r w:rsidR="00DF0FEE" w:rsidRPr="007920A9">
              <w:t>. Des initiatives locales de publication de données ouvertes aux niveaux des municipalités se développent, certaine</w:t>
            </w:r>
            <w:r w:rsidR="003C0F2A">
              <w:t>s</w:t>
            </w:r>
            <w:r w:rsidR="00DF0FEE" w:rsidRPr="007920A9">
              <w:t xml:space="preserve"> existant depuis 2012.</w:t>
            </w:r>
          </w:p>
        </w:tc>
      </w:tr>
      <w:tr w:rsidR="002E4657" w:rsidRPr="007920A9" w14:paraId="3AE28054" w14:textId="77777777" w:rsidTr="005900E6">
        <w:tc>
          <w:tcPr>
            <w:tcW w:w="1951" w:type="dxa"/>
            <w:tcBorders>
              <w:bottom w:val="single" w:sz="4" w:space="0" w:color="auto"/>
            </w:tcBorders>
            <w:vAlign w:val="center"/>
          </w:tcPr>
          <w:p w14:paraId="138E3390" w14:textId="77777777" w:rsidR="002E4657" w:rsidRPr="007920A9" w:rsidRDefault="002E4657" w:rsidP="00026C12">
            <w:pPr>
              <w:spacing w:after="0"/>
              <w:jc w:val="both"/>
              <w:rPr>
                <w:b/>
              </w:rPr>
            </w:pPr>
            <w:r w:rsidRPr="007920A9">
              <w:rPr>
                <w:b/>
              </w:rPr>
              <w:t>Contexte Politique Global</w:t>
            </w:r>
          </w:p>
        </w:tc>
        <w:tc>
          <w:tcPr>
            <w:tcW w:w="1701" w:type="dxa"/>
            <w:tcBorders>
              <w:bottom w:val="single" w:sz="4" w:space="0" w:color="auto"/>
            </w:tcBorders>
            <w:vAlign w:val="center"/>
          </w:tcPr>
          <w:p w14:paraId="515CCD71" w14:textId="77777777" w:rsidR="002E4657" w:rsidRPr="007920A9" w:rsidRDefault="002E4657" w:rsidP="00026C12">
            <w:pPr>
              <w:spacing w:after="0"/>
              <w:jc w:val="both"/>
            </w:pPr>
            <w:r w:rsidRPr="007920A9">
              <w:rPr>
                <w:b/>
                <w:bCs/>
              </w:rPr>
              <w:t>Élevée</w:t>
            </w:r>
          </w:p>
        </w:tc>
        <w:tc>
          <w:tcPr>
            <w:tcW w:w="1276" w:type="dxa"/>
            <w:tcBorders>
              <w:bottom w:val="single" w:sz="4" w:space="0" w:color="auto"/>
            </w:tcBorders>
            <w:shd w:val="clear" w:color="auto" w:fill="auto"/>
            <w:vAlign w:val="center"/>
          </w:tcPr>
          <w:p w14:paraId="70423AE2" w14:textId="77777777" w:rsidR="002E4657" w:rsidRPr="007920A9" w:rsidRDefault="00B7216F" w:rsidP="00026C12">
            <w:pPr>
              <w:spacing w:after="0"/>
              <w:jc w:val="both"/>
              <w:rPr>
                <w:highlight w:val="yellow"/>
              </w:rPr>
            </w:pPr>
            <w:r w:rsidRPr="007920A9">
              <w:rPr>
                <w:b/>
                <w:bCs/>
                <w:highlight w:val="green"/>
              </w:rPr>
              <w:t>VERT</w:t>
            </w:r>
          </w:p>
        </w:tc>
        <w:tc>
          <w:tcPr>
            <w:tcW w:w="4961" w:type="dxa"/>
            <w:vAlign w:val="center"/>
          </w:tcPr>
          <w:p w14:paraId="37D9D58E" w14:textId="11B6C1E3" w:rsidR="0055655E" w:rsidRPr="007920A9" w:rsidRDefault="00DF0FEE" w:rsidP="00026C12">
            <w:pPr>
              <w:spacing w:after="0"/>
              <w:jc w:val="both"/>
            </w:pPr>
            <w:r w:rsidRPr="007920A9">
              <w:t xml:space="preserve">Malgré la relative instabilité </w:t>
            </w:r>
            <w:r w:rsidR="0055655E" w:rsidRPr="007920A9">
              <w:t>politique</w:t>
            </w:r>
            <w:r w:rsidRPr="007920A9">
              <w:t xml:space="preserve"> et la succession des gouvernements depuis 2011, la transparence de gouvernance, la publication de données, la participation citoyenne et la lutte contre la corruption sont les éléments fondateurs de </w:t>
            </w:r>
            <w:r w:rsidR="003C0F2A">
              <w:t xml:space="preserve">la </w:t>
            </w:r>
            <w:r w:rsidRPr="007920A9">
              <w:t>révolution populaire de 2011 et sont donc une priorité des administrations qui se sont succédées.</w:t>
            </w:r>
          </w:p>
        </w:tc>
      </w:tr>
      <w:tr w:rsidR="002E4657" w:rsidRPr="007920A9" w14:paraId="20BD6E89" w14:textId="77777777" w:rsidTr="005900E6">
        <w:tc>
          <w:tcPr>
            <w:tcW w:w="1951" w:type="dxa"/>
            <w:tcBorders>
              <w:bottom w:val="single" w:sz="4" w:space="0" w:color="auto"/>
            </w:tcBorders>
            <w:vAlign w:val="center"/>
          </w:tcPr>
          <w:p w14:paraId="1E61E4E5" w14:textId="5D01FD56" w:rsidR="002E4657" w:rsidRPr="007920A9" w:rsidRDefault="00376A9E" w:rsidP="00026C12">
            <w:pPr>
              <w:spacing w:after="0"/>
              <w:jc w:val="both"/>
              <w:rPr>
                <w:b/>
              </w:rPr>
            </w:pPr>
            <w:r>
              <w:rPr>
                <w:b/>
                <w:bCs/>
              </w:rPr>
              <w:t>L</w:t>
            </w:r>
            <w:r w:rsidR="002E4657" w:rsidRPr="007920A9">
              <w:rPr>
                <w:b/>
                <w:bCs/>
              </w:rPr>
              <w:t>’adhésion au Partenariat pour un Gouvernement ouvert</w:t>
            </w:r>
          </w:p>
        </w:tc>
        <w:tc>
          <w:tcPr>
            <w:tcW w:w="1701" w:type="dxa"/>
            <w:tcBorders>
              <w:bottom w:val="single" w:sz="4" w:space="0" w:color="auto"/>
            </w:tcBorders>
            <w:vAlign w:val="center"/>
          </w:tcPr>
          <w:p w14:paraId="2C96D885" w14:textId="77777777" w:rsidR="002E4657" w:rsidRPr="007920A9" w:rsidRDefault="002E4657" w:rsidP="00026C12">
            <w:pPr>
              <w:spacing w:after="0"/>
              <w:jc w:val="both"/>
            </w:pPr>
            <w:r w:rsidRPr="007920A9">
              <w:rPr>
                <w:b/>
                <w:bCs/>
              </w:rPr>
              <w:t>Moyennement Élevée</w:t>
            </w:r>
          </w:p>
        </w:tc>
        <w:tc>
          <w:tcPr>
            <w:tcW w:w="1276" w:type="dxa"/>
            <w:shd w:val="clear" w:color="auto" w:fill="auto"/>
            <w:vAlign w:val="center"/>
          </w:tcPr>
          <w:p w14:paraId="31FD2A0E" w14:textId="5BAF0564" w:rsidR="002E4657" w:rsidRPr="007920A9" w:rsidRDefault="00DF0FEE" w:rsidP="00026C12">
            <w:pPr>
              <w:spacing w:after="0"/>
              <w:jc w:val="both"/>
              <w:rPr>
                <w:highlight w:val="yellow"/>
              </w:rPr>
            </w:pPr>
            <w:r w:rsidRPr="007920A9">
              <w:rPr>
                <w:b/>
                <w:bCs/>
                <w:highlight w:val="green"/>
              </w:rPr>
              <w:t>VERT</w:t>
            </w:r>
          </w:p>
        </w:tc>
        <w:tc>
          <w:tcPr>
            <w:tcW w:w="4961" w:type="dxa"/>
            <w:vAlign w:val="center"/>
          </w:tcPr>
          <w:p w14:paraId="5843165A" w14:textId="74115A49" w:rsidR="002E4657" w:rsidRPr="007920A9" w:rsidRDefault="00B7216F" w:rsidP="00026C12">
            <w:pPr>
              <w:spacing w:after="0"/>
              <w:jc w:val="both"/>
            </w:pPr>
            <w:r w:rsidRPr="007920A9">
              <w:t xml:space="preserve">La </w:t>
            </w:r>
            <w:r w:rsidR="0055655E" w:rsidRPr="007920A9">
              <w:t>Tunisie est membre du PGO depuis 2014 et a développé à ce jour, au travers de consultations nationales, 2 plans d’action</w:t>
            </w:r>
          </w:p>
        </w:tc>
      </w:tr>
      <w:tr w:rsidR="002E4657" w:rsidRPr="007920A9" w14:paraId="17728486" w14:textId="77777777" w:rsidTr="005900E6">
        <w:tc>
          <w:tcPr>
            <w:tcW w:w="1951" w:type="dxa"/>
            <w:shd w:val="clear" w:color="auto" w:fill="auto"/>
            <w:vAlign w:val="center"/>
          </w:tcPr>
          <w:p w14:paraId="1E465091" w14:textId="77777777" w:rsidR="002E4657" w:rsidRPr="007920A9" w:rsidRDefault="002E4657" w:rsidP="00026C12">
            <w:pPr>
              <w:spacing w:after="0"/>
              <w:jc w:val="both"/>
              <w:rPr>
                <w:b/>
              </w:rPr>
            </w:pPr>
            <w:r w:rsidRPr="007920A9">
              <w:rPr>
                <w:b/>
              </w:rPr>
              <w:t>Résultat Global</w:t>
            </w:r>
          </w:p>
        </w:tc>
        <w:tc>
          <w:tcPr>
            <w:tcW w:w="1701" w:type="dxa"/>
            <w:shd w:val="clear" w:color="auto" w:fill="auto"/>
            <w:vAlign w:val="center"/>
          </w:tcPr>
          <w:p w14:paraId="0A8D9981" w14:textId="77777777" w:rsidR="002E4657" w:rsidRPr="007920A9" w:rsidRDefault="002E4657" w:rsidP="00026C12">
            <w:pPr>
              <w:spacing w:after="0"/>
              <w:jc w:val="both"/>
              <w:rPr>
                <w:b/>
              </w:rPr>
            </w:pPr>
            <w:r w:rsidRPr="007920A9">
              <w:rPr>
                <w:b/>
                <w:bCs/>
              </w:rPr>
              <w:t>Très Élevée</w:t>
            </w:r>
          </w:p>
        </w:tc>
        <w:tc>
          <w:tcPr>
            <w:tcW w:w="1276" w:type="dxa"/>
            <w:shd w:val="clear" w:color="auto" w:fill="auto"/>
            <w:vAlign w:val="center"/>
          </w:tcPr>
          <w:p w14:paraId="7546A0A2" w14:textId="521B78A1" w:rsidR="002E4657" w:rsidRPr="007920A9" w:rsidRDefault="001D49C5" w:rsidP="00026C12">
            <w:pPr>
              <w:spacing w:after="0"/>
              <w:jc w:val="both"/>
              <w:rPr>
                <w:highlight w:val="yellow"/>
              </w:rPr>
            </w:pPr>
            <w:r w:rsidRPr="001D49C5">
              <w:rPr>
                <w:b/>
                <w:bCs/>
                <w:highlight w:val="yellow"/>
              </w:rPr>
              <w:t>JAUNE</w:t>
            </w:r>
            <w:r w:rsidRPr="001D49C5">
              <w:rPr>
                <w:b/>
                <w:bCs/>
              </w:rPr>
              <w:t>/</w:t>
            </w:r>
            <w:r>
              <w:rPr>
                <w:b/>
                <w:bCs/>
              </w:rPr>
              <w:t xml:space="preserve"> </w:t>
            </w:r>
            <w:r w:rsidR="00B7216F" w:rsidRPr="007920A9">
              <w:rPr>
                <w:b/>
                <w:bCs/>
                <w:highlight w:val="green"/>
              </w:rPr>
              <w:t>VERT</w:t>
            </w:r>
          </w:p>
        </w:tc>
        <w:tc>
          <w:tcPr>
            <w:tcW w:w="4961" w:type="dxa"/>
            <w:vAlign w:val="center"/>
          </w:tcPr>
          <w:p w14:paraId="25E110B3" w14:textId="37D93675" w:rsidR="002E4657" w:rsidRDefault="0055655E" w:rsidP="00026C12">
            <w:pPr>
              <w:spacing w:after="0"/>
              <w:jc w:val="both"/>
            </w:pPr>
            <w:r w:rsidRPr="007920A9">
              <w:t>La Tunisie est déjà engagée dans u</w:t>
            </w:r>
            <w:r w:rsidR="00B7216F" w:rsidRPr="007920A9">
              <w:t xml:space="preserve">ne initiative d’ouverture des </w:t>
            </w:r>
            <w:r w:rsidR="009352D9">
              <w:t>données gouvern</w:t>
            </w:r>
            <w:r w:rsidR="00E47607">
              <w:t>e</w:t>
            </w:r>
            <w:r w:rsidR="009352D9">
              <w:t>mentales</w:t>
            </w:r>
            <w:r w:rsidR="00E47607">
              <w:t xml:space="preserve"> </w:t>
            </w:r>
            <w:r w:rsidRPr="007920A9">
              <w:t>depuis 2012. De nombreux ministères sont déjà impliqués dans la publication de données, l’Open Data est au cœur de plusieurs plan</w:t>
            </w:r>
            <w:r w:rsidR="00037981">
              <w:t>s</w:t>
            </w:r>
            <w:r w:rsidRPr="007920A9">
              <w:t xml:space="preserve"> stratégiques essentiels et la volonté politique de poursuivre dans cette voie est clairement affichée. </w:t>
            </w:r>
          </w:p>
          <w:p w14:paraId="318D5E97" w14:textId="41DD4631" w:rsidR="001D49C5" w:rsidRPr="007920A9" w:rsidRDefault="001D49C5" w:rsidP="00026C12">
            <w:pPr>
              <w:spacing w:after="0"/>
              <w:jc w:val="both"/>
            </w:pPr>
            <w:r>
              <w:t xml:space="preserve">Cependant, le manque de déclaration publique claire du </w:t>
            </w:r>
            <w:r w:rsidR="009E42EF">
              <w:t>Chef du Gouvernement</w:t>
            </w:r>
            <w:r>
              <w:t xml:space="preserve"> ou du Président </w:t>
            </w:r>
            <w:r w:rsidR="009E42EF">
              <w:t xml:space="preserve">de la République </w:t>
            </w:r>
            <w:r>
              <w:t>impact</w:t>
            </w:r>
            <w:r w:rsidR="003C0F2A">
              <w:t>ent</w:t>
            </w:r>
            <w:r>
              <w:t xml:space="preserve"> négativement la dynamique au sein des Ministères.</w:t>
            </w:r>
          </w:p>
        </w:tc>
      </w:tr>
    </w:tbl>
    <w:p w14:paraId="1F52CEF7" w14:textId="77777777" w:rsidR="000B6536" w:rsidRPr="007920A9" w:rsidRDefault="000B6536" w:rsidP="00026C12">
      <w:pPr>
        <w:jc w:val="both"/>
        <w:rPr>
          <w:rFonts w:asciiTheme="majorHAnsi" w:eastAsiaTheme="majorEastAsia" w:hAnsiTheme="majorHAnsi" w:cstheme="majorBidi"/>
          <w:b/>
          <w:bCs/>
          <w:caps/>
          <w:color w:val="FFFFFF" w:themeColor="background1"/>
          <w:sz w:val="28"/>
          <w:szCs w:val="28"/>
        </w:rPr>
      </w:pPr>
      <w:r w:rsidRPr="007920A9">
        <w:br w:type="page"/>
      </w:r>
    </w:p>
    <w:p w14:paraId="46DA9BBE" w14:textId="77777777" w:rsidR="00FA1BB6" w:rsidRPr="007920A9" w:rsidRDefault="008B3687" w:rsidP="00026C12">
      <w:pPr>
        <w:pStyle w:val="Titre1"/>
        <w:jc w:val="both"/>
      </w:pPr>
      <w:bookmarkStart w:id="15" w:name="_Toc459307836"/>
      <w:bookmarkStart w:id="16" w:name="_Toc496544777"/>
      <w:r w:rsidRPr="007920A9">
        <w:t>Cadre</w:t>
      </w:r>
      <w:r w:rsidR="00FA1BB6" w:rsidRPr="007920A9">
        <w:t xml:space="preserve"> réglementaire et juridique</w:t>
      </w:r>
      <w:bookmarkEnd w:id="15"/>
      <w:bookmarkEnd w:id="16"/>
    </w:p>
    <w:p w14:paraId="4B95A2D6" w14:textId="77777777" w:rsidR="008B3687" w:rsidRPr="007920A9" w:rsidRDefault="008B3687" w:rsidP="00026C12">
      <w:pPr>
        <w:spacing w:before="360" w:after="0"/>
        <w:jc w:val="both"/>
        <w:rPr>
          <w:sz w:val="24"/>
          <w:szCs w:val="24"/>
        </w:rPr>
      </w:pPr>
      <w:r w:rsidRPr="007920A9">
        <w:rPr>
          <w:sz w:val="24"/>
          <w:szCs w:val="24"/>
        </w:rPr>
        <w:t>Texte clés :</w:t>
      </w:r>
    </w:p>
    <w:p w14:paraId="1012347B" w14:textId="60DA9A51" w:rsidR="00037981" w:rsidRDefault="00E8606D" w:rsidP="004E0C69">
      <w:pPr>
        <w:pStyle w:val="Paragraphedeliste"/>
        <w:numPr>
          <w:ilvl w:val="0"/>
          <w:numId w:val="55"/>
        </w:numPr>
        <w:autoSpaceDE w:val="0"/>
        <w:autoSpaceDN w:val="0"/>
        <w:adjustRightInd w:val="0"/>
        <w:spacing w:after="0" w:line="240" w:lineRule="auto"/>
        <w:jc w:val="both"/>
      </w:pPr>
      <w:hyperlink r:id="rId10" w:history="1">
        <w:r w:rsidR="00037981" w:rsidRPr="001B6DD5">
          <w:rPr>
            <w:rStyle w:val="Lienhypertexte"/>
          </w:rPr>
          <w:t>Loi organique n° 2017-10 du 7 mars 2017, relative à la dénonciation de la corruption et la protection des dénonciateurs</w:t>
        </w:r>
      </w:hyperlink>
    </w:p>
    <w:p w14:paraId="3955DFF8" w14:textId="060BDC61" w:rsidR="007F0E47" w:rsidRPr="007920A9" w:rsidRDefault="00E8606D" w:rsidP="00D5699E">
      <w:pPr>
        <w:pStyle w:val="Paragraphedeliste"/>
        <w:numPr>
          <w:ilvl w:val="0"/>
          <w:numId w:val="55"/>
        </w:numPr>
      </w:pPr>
      <w:hyperlink r:id="rId11" w:history="1">
        <w:r w:rsidR="007F0E47" w:rsidRPr="007920A9">
          <w:rPr>
            <w:rStyle w:val="Lienhypertexte"/>
          </w:rPr>
          <w:t>Loi organique n° 2016-22 du 24 mars 2016, relative au droit d’accès à l’information</w:t>
        </w:r>
      </w:hyperlink>
    </w:p>
    <w:p w14:paraId="2E7DEC8F" w14:textId="7DFA7465" w:rsidR="007F0E47" w:rsidRDefault="00E8606D" w:rsidP="00D5699E">
      <w:pPr>
        <w:pStyle w:val="Paragraphedeliste"/>
        <w:numPr>
          <w:ilvl w:val="0"/>
          <w:numId w:val="55"/>
        </w:numPr>
        <w:rPr>
          <w:rStyle w:val="Lienhypertexte"/>
        </w:rPr>
      </w:pPr>
      <w:hyperlink r:id="rId12" w:history="1">
        <w:r w:rsidR="007F0E47" w:rsidRPr="007920A9">
          <w:rPr>
            <w:rStyle w:val="Lienhypertexte"/>
          </w:rPr>
          <w:t>Décret-loi n° 2011-116 du 2 novembre 2011, relatif à la liberté de la communication audiovisuelle et portant création d’une Haute Autorité Indépendante de la Communication Audiovisuelle (HAICA)</w:t>
        </w:r>
      </w:hyperlink>
    </w:p>
    <w:p w14:paraId="6E7283A9" w14:textId="1EFC4E24" w:rsidR="00037981" w:rsidRDefault="00E8606D" w:rsidP="00037981">
      <w:pPr>
        <w:pStyle w:val="Paragraphedeliste"/>
        <w:numPr>
          <w:ilvl w:val="0"/>
          <w:numId w:val="55"/>
        </w:numPr>
        <w:rPr>
          <w:rStyle w:val="Lienhypertexte"/>
        </w:rPr>
      </w:pPr>
      <w:hyperlink r:id="rId13" w:history="1">
        <w:r w:rsidR="00037981" w:rsidRPr="007920A9">
          <w:rPr>
            <w:rStyle w:val="Lienhypertexte"/>
          </w:rPr>
          <w:t>Décret-loi n° 2011-115 du 2 novembre 2011, relatif à la liberté de la presse, de l’imprimerie et de l’édition</w:t>
        </w:r>
      </w:hyperlink>
    </w:p>
    <w:p w14:paraId="504E8B2D" w14:textId="234CAC67" w:rsidR="00037981" w:rsidRPr="00FF0ED5" w:rsidRDefault="00E8606D" w:rsidP="008A2E32">
      <w:pPr>
        <w:pStyle w:val="Paragraphedeliste"/>
        <w:numPr>
          <w:ilvl w:val="0"/>
          <w:numId w:val="55"/>
        </w:numPr>
        <w:autoSpaceDE w:val="0"/>
        <w:autoSpaceDN w:val="0"/>
        <w:adjustRightInd w:val="0"/>
        <w:spacing w:after="0" w:line="240" w:lineRule="auto"/>
        <w:jc w:val="both"/>
        <w:rPr>
          <w:rStyle w:val="Lienhypertexte"/>
        </w:rPr>
      </w:pPr>
      <w:hyperlink r:id="rId14" w:history="1">
        <w:r w:rsidR="00037981" w:rsidRPr="001B6DD5">
          <w:rPr>
            <w:rStyle w:val="Lienhypertexte"/>
          </w:rPr>
          <w:t>Loi n° 2004-5 du 3 février 2004, relative à la sécurité informatiqu</w:t>
        </w:r>
      </w:hyperlink>
      <w:r w:rsidR="00037981">
        <w:rPr>
          <w:rStyle w:val="Lienhypertexte"/>
        </w:rPr>
        <w:t>e</w:t>
      </w:r>
    </w:p>
    <w:p w14:paraId="0C503CEF" w14:textId="01A06D4C" w:rsidR="00037981" w:rsidRDefault="00E8606D" w:rsidP="008A2E32">
      <w:pPr>
        <w:pStyle w:val="Paragraphedeliste"/>
        <w:numPr>
          <w:ilvl w:val="0"/>
          <w:numId w:val="55"/>
        </w:numPr>
        <w:autoSpaceDE w:val="0"/>
        <w:autoSpaceDN w:val="0"/>
        <w:adjustRightInd w:val="0"/>
        <w:spacing w:after="0" w:line="240" w:lineRule="auto"/>
        <w:jc w:val="both"/>
        <w:rPr>
          <w:rStyle w:val="Lienhypertexte"/>
        </w:rPr>
      </w:pPr>
      <w:hyperlink r:id="rId15" w:history="1">
        <w:r w:rsidR="00037981" w:rsidRPr="007920A9">
          <w:rPr>
            <w:rStyle w:val="Lienhypertexte"/>
          </w:rPr>
          <w:t>Loi organique n° 2004-63 du 27 juillet 2004, portant sur la protection des données à caractère personne</w:t>
        </w:r>
      </w:hyperlink>
      <w:r w:rsidR="00037981" w:rsidRPr="00FF0ED5">
        <w:rPr>
          <w:rStyle w:val="Lienhypertexte"/>
        </w:rPr>
        <w:t>l</w:t>
      </w:r>
    </w:p>
    <w:p w14:paraId="313091BD" w14:textId="51B47477" w:rsidR="00037981" w:rsidRPr="00FF0ED5" w:rsidRDefault="00E8606D" w:rsidP="008A2E32">
      <w:pPr>
        <w:pStyle w:val="Paragraphedeliste"/>
        <w:numPr>
          <w:ilvl w:val="0"/>
          <w:numId w:val="55"/>
        </w:numPr>
        <w:rPr>
          <w:rStyle w:val="Lienhypertexte"/>
        </w:rPr>
      </w:pPr>
      <w:hyperlink r:id="rId16" w:history="1">
        <w:r w:rsidR="00037981" w:rsidRPr="007920A9">
          <w:rPr>
            <w:rStyle w:val="Lienhypertexte"/>
          </w:rPr>
          <w:t>Loi n-99-32 du 13 avril 1999, relative au système national de la statistique</w:t>
        </w:r>
      </w:hyperlink>
    </w:p>
    <w:p w14:paraId="2FE8FE05" w14:textId="77777777" w:rsidR="007F0E47" w:rsidRPr="00FF0ED5" w:rsidRDefault="00E8606D" w:rsidP="00D5699E">
      <w:pPr>
        <w:pStyle w:val="Paragraphedeliste"/>
        <w:numPr>
          <w:ilvl w:val="0"/>
          <w:numId w:val="55"/>
        </w:numPr>
        <w:rPr>
          <w:rStyle w:val="Lienhypertexte"/>
        </w:rPr>
      </w:pPr>
      <w:hyperlink r:id="rId17" w:history="1">
        <w:r w:rsidR="007F0E47" w:rsidRPr="007920A9">
          <w:rPr>
            <w:rStyle w:val="Lienhypertexte"/>
          </w:rPr>
          <w:t>Loi n 88-95 du 2 aout 1988 relative aux archives</w:t>
        </w:r>
      </w:hyperlink>
      <w:r w:rsidR="007F0E47" w:rsidRPr="00FF0ED5">
        <w:rPr>
          <w:rStyle w:val="Lienhypertexte"/>
        </w:rPr>
        <w:t xml:space="preserve"> </w:t>
      </w:r>
    </w:p>
    <w:p w14:paraId="6B729FDC" w14:textId="77777777" w:rsidR="00E130EB" w:rsidRPr="007920A9" w:rsidRDefault="00E130EB" w:rsidP="00E130EB">
      <w:pPr>
        <w:pStyle w:val="Paragraphedeliste"/>
        <w:autoSpaceDE w:val="0"/>
        <w:autoSpaceDN w:val="0"/>
        <w:adjustRightInd w:val="0"/>
        <w:spacing w:after="0" w:line="240" w:lineRule="auto"/>
        <w:jc w:val="both"/>
        <w:rPr>
          <w:b/>
          <w:bCs/>
          <w:sz w:val="24"/>
          <w:szCs w:val="24"/>
        </w:rPr>
      </w:pPr>
    </w:p>
    <w:p w14:paraId="4FB1F7C4" w14:textId="6DC9511E" w:rsidR="00FA1BB6" w:rsidRPr="007920A9" w:rsidRDefault="00FA1BB6" w:rsidP="00026C12">
      <w:pPr>
        <w:autoSpaceDE w:val="0"/>
        <w:autoSpaceDN w:val="0"/>
        <w:adjustRightInd w:val="0"/>
        <w:spacing w:after="0" w:line="240" w:lineRule="auto"/>
        <w:jc w:val="both"/>
        <w:rPr>
          <w:b/>
          <w:bCs/>
          <w:sz w:val="24"/>
          <w:szCs w:val="24"/>
        </w:rPr>
      </w:pPr>
      <w:r w:rsidRPr="007920A9">
        <w:rPr>
          <w:b/>
          <w:bCs/>
          <w:sz w:val="24"/>
          <w:szCs w:val="24"/>
        </w:rPr>
        <w:t>2.1 Existe-t-il une réglementation sur la protection de la vie privée ? (Importance: Très Élevée).</w:t>
      </w:r>
      <w:r w:rsidR="003A7E2D" w:rsidRPr="007920A9">
        <w:rPr>
          <w:b/>
          <w:bCs/>
          <w:sz w:val="24"/>
          <w:szCs w:val="24"/>
        </w:rPr>
        <w:t xml:space="preserve"> </w:t>
      </w:r>
      <w:r w:rsidR="00E130EB" w:rsidRPr="00E130EB">
        <w:rPr>
          <w:b/>
          <w:bCs/>
          <w:sz w:val="24"/>
          <w:szCs w:val="24"/>
          <w:highlight w:val="yellow"/>
        </w:rPr>
        <w:t>JAUNE</w:t>
      </w:r>
      <w:r w:rsidR="00E130EB">
        <w:rPr>
          <w:b/>
          <w:bCs/>
          <w:sz w:val="24"/>
          <w:szCs w:val="24"/>
        </w:rPr>
        <w:t>/</w:t>
      </w:r>
      <w:r w:rsidR="00E130EB" w:rsidRPr="00E130EB">
        <w:rPr>
          <w:b/>
          <w:bCs/>
          <w:sz w:val="24"/>
          <w:szCs w:val="24"/>
          <w:highlight w:val="green"/>
        </w:rPr>
        <w:t>VERT</w:t>
      </w:r>
    </w:p>
    <w:p w14:paraId="797AFAA2" w14:textId="77777777" w:rsidR="008B3687" w:rsidRPr="007920A9" w:rsidRDefault="008B3687" w:rsidP="00026C12">
      <w:pPr>
        <w:autoSpaceDE w:val="0"/>
        <w:autoSpaceDN w:val="0"/>
        <w:adjustRightInd w:val="0"/>
        <w:spacing w:after="0" w:line="240" w:lineRule="auto"/>
        <w:jc w:val="both"/>
        <w:rPr>
          <w:b/>
          <w:bCs/>
          <w:sz w:val="24"/>
          <w:szCs w:val="24"/>
        </w:rPr>
      </w:pPr>
    </w:p>
    <w:p w14:paraId="079B6CA8" w14:textId="0E07014F" w:rsidR="007F0E47" w:rsidRPr="007920A9" w:rsidRDefault="007F0E47" w:rsidP="007F0E47">
      <w:pPr>
        <w:autoSpaceDE w:val="0"/>
        <w:autoSpaceDN w:val="0"/>
        <w:adjustRightInd w:val="0"/>
        <w:spacing w:after="0" w:line="240" w:lineRule="auto"/>
        <w:ind w:left="700" w:hanging="340"/>
        <w:jc w:val="both"/>
        <w:rPr>
          <w:sz w:val="24"/>
          <w:szCs w:val="24"/>
        </w:rPr>
      </w:pPr>
      <w:r w:rsidRPr="007920A9">
        <w:rPr>
          <w:sz w:val="24"/>
          <w:szCs w:val="24"/>
        </w:rPr>
        <w:t>+</w:t>
      </w:r>
      <w:r w:rsidRPr="007920A9">
        <w:rPr>
          <w:sz w:val="24"/>
          <w:szCs w:val="24"/>
        </w:rPr>
        <w:tab/>
        <w:t>L’article 24 de la Constitution de 2014 réaffirme le droit contenu dans l’article 9 de l’ancienne Constitution en énonçant que « l’Etat protège la vie privée et l’inviolabilité du domicile et la confidentialité des correspondances, des communications et des données personnelles ».</w:t>
      </w:r>
    </w:p>
    <w:p w14:paraId="5C487D8D" w14:textId="64CB60C6" w:rsidR="007F0E47" w:rsidRDefault="007F0E47" w:rsidP="007F0E47">
      <w:pPr>
        <w:autoSpaceDE w:val="0"/>
        <w:autoSpaceDN w:val="0"/>
        <w:adjustRightInd w:val="0"/>
        <w:spacing w:after="0" w:line="240" w:lineRule="auto"/>
        <w:ind w:left="700" w:hanging="340"/>
        <w:jc w:val="both"/>
        <w:rPr>
          <w:sz w:val="24"/>
          <w:szCs w:val="24"/>
        </w:rPr>
      </w:pPr>
      <w:r w:rsidRPr="007920A9">
        <w:rPr>
          <w:sz w:val="24"/>
          <w:szCs w:val="24"/>
        </w:rPr>
        <w:t>+</w:t>
      </w:r>
      <w:r w:rsidRPr="007920A9">
        <w:rPr>
          <w:sz w:val="24"/>
          <w:szCs w:val="24"/>
        </w:rPr>
        <w:tab/>
      </w:r>
      <w:r w:rsidRPr="00642B32">
        <w:rPr>
          <w:sz w:val="24"/>
          <w:szCs w:val="24"/>
        </w:rPr>
        <w:t xml:space="preserve">La </w:t>
      </w:r>
      <w:hyperlink r:id="rId18" w:history="1">
        <w:bookmarkStart w:id="17" w:name="_Hlk498506718"/>
        <w:r w:rsidRPr="00642B32">
          <w:rPr>
            <w:rStyle w:val="Lienhypertexte"/>
            <w:sz w:val="24"/>
            <w:szCs w:val="24"/>
          </w:rPr>
          <w:t>loi organique n° 2004-63 du 27 juillet 2004</w:t>
        </w:r>
        <w:bookmarkEnd w:id="17"/>
        <w:r w:rsidRPr="00642B32">
          <w:rPr>
            <w:rStyle w:val="Lienhypertexte"/>
            <w:sz w:val="24"/>
            <w:szCs w:val="24"/>
          </w:rPr>
          <w:t>, portant sur la protection des données à caractère personnel</w:t>
        </w:r>
      </w:hyperlink>
      <w:r w:rsidRPr="00642B32">
        <w:rPr>
          <w:sz w:val="24"/>
          <w:szCs w:val="24"/>
        </w:rPr>
        <w:t xml:space="preserve"> fournit un cadre réglementaire minimal pour la protection de la vie privée. </w:t>
      </w:r>
    </w:p>
    <w:p w14:paraId="694C6A1D" w14:textId="630F5D96" w:rsidR="00D337F3" w:rsidRPr="00642B32" w:rsidRDefault="00D337F3" w:rsidP="007F0E47">
      <w:pPr>
        <w:autoSpaceDE w:val="0"/>
        <w:autoSpaceDN w:val="0"/>
        <w:adjustRightInd w:val="0"/>
        <w:spacing w:after="0" w:line="240" w:lineRule="auto"/>
        <w:ind w:left="700" w:hanging="340"/>
        <w:jc w:val="both"/>
        <w:rPr>
          <w:b/>
          <w:bCs/>
          <w:sz w:val="24"/>
          <w:szCs w:val="24"/>
        </w:rPr>
      </w:pPr>
      <w:r>
        <w:rPr>
          <w:sz w:val="24"/>
          <w:szCs w:val="24"/>
        </w:rPr>
        <w:t>+</w:t>
      </w:r>
      <w:r>
        <w:rPr>
          <w:sz w:val="24"/>
          <w:szCs w:val="24"/>
        </w:rPr>
        <w:tab/>
        <w:t xml:space="preserve">La </w:t>
      </w:r>
      <w:r w:rsidRPr="00D337F3">
        <w:rPr>
          <w:sz w:val="24"/>
          <w:szCs w:val="24"/>
        </w:rPr>
        <w:t>Circulaire n° 2016-17 du 12 octobre 2016</w:t>
      </w:r>
      <w:r>
        <w:rPr>
          <w:rStyle w:val="Appelnotedebasdep"/>
          <w:sz w:val="24"/>
          <w:szCs w:val="24"/>
        </w:rPr>
        <w:footnoteReference w:id="38"/>
      </w:r>
      <w:r w:rsidRPr="00D337F3">
        <w:rPr>
          <w:sz w:val="24"/>
          <w:szCs w:val="24"/>
        </w:rPr>
        <w:t>, sur le respect des dispositions légales relatives à la protection des données à caractère personnel</w:t>
      </w:r>
      <w:r>
        <w:rPr>
          <w:sz w:val="24"/>
          <w:szCs w:val="24"/>
        </w:rPr>
        <w:t xml:space="preserve"> rappelle à tous les organismes publiques leurs obligations au regard de la </w:t>
      </w:r>
      <w:r w:rsidR="00037981" w:rsidRPr="00037981">
        <w:rPr>
          <w:sz w:val="24"/>
          <w:szCs w:val="24"/>
        </w:rPr>
        <w:t>loi organique n° 2004-63 du 27 juillet 2004</w:t>
      </w:r>
      <w:r>
        <w:rPr>
          <w:sz w:val="24"/>
          <w:szCs w:val="24"/>
        </w:rPr>
        <w:t>concernant la protection des données personnelles</w:t>
      </w:r>
    </w:p>
    <w:p w14:paraId="0504BE2A" w14:textId="5F862246" w:rsidR="007F0E47" w:rsidRPr="00642B32" w:rsidRDefault="007F0E47" w:rsidP="00D5699E">
      <w:pPr>
        <w:pStyle w:val="Paragraphedeliste"/>
        <w:numPr>
          <w:ilvl w:val="0"/>
          <w:numId w:val="44"/>
        </w:numPr>
        <w:autoSpaceDE w:val="0"/>
        <w:autoSpaceDN w:val="0"/>
        <w:adjustRightInd w:val="0"/>
        <w:spacing w:after="0" w:line="240" w:lineRule="auto"/>
        <w:jc w:val="both"/>
        <w:rPr>
          <w:b/>
          <w:bCs/>
          <w:sz w:val="24"/>
          <w:szCs w:val="24"/>
        </w:rPr>
      </w:pPr>
      <w:r w:rsidRPr="00642B32">
        <w:rPr>
          <w:sz w:val="24"/>
          <w:szCs w:val="24"/>
        </w:rPr>
        <w:t xml:space="preserve">La </w:t>
      </w:r>
      <w:r w:rsidR="00037981" w:rsidRPr="00037981">
        <w:rPr>
          <w:sz w:val="24"/>
          <w:szCs w:val="24"/>
        </w:rPr>
        <w:t>loi organique n° 2004-63 du 27 juillet 2004</w:t>
      </w:r>
      <w:r w:rsidR="00037981">
        <w:rPr>
          <w:sz w:val="24"/>
          <w:szCs w:val="24"/>
        </w:rPr>
        <w:t xml:space="preserve"> </w:t>
      </w:r>
      <w:r w:rsidR="009B65CC" w:rsidRPr="00642B32">
        <w:rPr>
          <w:sz w:val="24"/>
          <w:szCs w:val="24"/>
        </w:rPr>
        <w:t>donne de larges exemptions pour les organismes publics (</w:t>
      </w:r>
      <w:r w:rsidR="006B5D45" w:rsidRPr="00642B32">
        <w:rPr>
          <w:sz w:val="24"/>
          <w:szCs w:val="24"/>
        </w:rPr>
        <w:t>cf.</w:t>
      </w:r>
      <w:r w:rsidR="009B65CC" w:rsidRPr="00642B32">
        <w:rPr>
          <w:sz w:val="24"/>
          <w:szCs w:val="24"/>
        </w:rPr>
        <w:t xml:space="preserve"> l’analyse de privacy internationale en anglais</w:t>
      </w:r>
      <w:r w:rsidR="009B65CC" w:rsidRPr="00642B32">
        <w:rPr>
          <w:rStyle w:val="Appelnotedebasdep"/>
          <w:sz w:val="24"/>
          <w:szCs w:val="24"/>
        </w:rPr>
        <w:footnoteReference w:id="39"/>
      </w:r>
      <w:r w:rsidR="009B65CC" w:rsidRPr="00642B32">
        <w:rPr>
          <w:sz w:val="24"/>
          <w:szCs w:val="24"/>
        </w:rPr>
        <w:t>)</w:t>
      </w:r>
    </w:p>
    <w:p w14:paraId="22672206" w14:textId="77777777" w:rsidR="00037981" w:rsidRPr="007920A9" w:rsidRDefault="00037981" w:rsidP="00037981">
      <w:pPr>
        <w:pStyle w:val="Paragraphedeliste"/>
        <w:numPr>
          <w:ilvl w:val="0"/>
          <w:numId w:val="6"/>
        </w:numPr>
        <w:jc w:val="both"/>
        <w:rPr>
          <w:sz w:val="24"/>
          <w:szCs w:val="24"/>
        </w:rPr>
      </w:pPr>
      <w:r w:rsidRPr="007920A9">
        <w:rPr>
          <w:sz w:val="24"/>
          <w:szCs w:val="24"/>
        </w:rPr>
        <w:t>La Tunisie a adhéré à la convention 108 du Conseil de L’Europe</w:t>
      </w:r>
      <w:r w:rsidRPr="007920A9">
        <w:rPr>
          <w:rStyle w:val="Appelnotedebasdep"/>
          <w:sz w:val="24"/>
          <w:szCs w:val="24"/>
        </w:rPr>
        <w:footnoteReference w:id="40"/>
      </w:r>
      <w:r w:rsidRPr="007920A9">
        <w:rPr>
          <w:sz w:val="24"/>
          <w:szCs w:val="24"/>
        </w:rPr>
        <w:t xml:space="preserve"> qui est une référence internationale pour la protection des données personnelles</w:t>
      </w:r>
    </w:p>
    <w:p w14:paraId="18F83725" w14:textId="77777777" w:rsidR="00037981" w:rsidRPr="004E0C69" w:rsidRDefault="00037981" w:rsidP="004E0C69">
      <w:pPr>
        <w:ind w:left="360"/>
        <w:jc w:val="both"/>
        <w:rPr>
          <w:sz w:val="24"/>
          <w:szCs w:val="24"/>
        </w:rPr>
      </w:pPr>
    </w:p>
    <w:p w14:paraId="7DEE1049" w14:textId="39D07195" w:rsidR="00FA1BB6" w:rsidRPr="007920A9" w:rsidRDefault="008A2E32" w:rsidP="008F3747">
      <w:pPr>
        <w:pStyle w:val="Paragraphedeliste"/>
        <w:numPr>
          <w:ilvl w:val="0"/>
          <w:numId w:val="6"/>
        </w:numPr>
        <w:jc w:val="both"/>
        <w:rPr>
          <w:sz w:val="24"/>
          <w:szCs w:val="24"/>
        </w:rPr>
      </w:pPr>
      <w:r>
        <w:rPr>
          <w:sz w:val="24"/>
          <w:szCs w:val="24"/>
        </w:rPr>
        <w:t xml:space="preserve">En relation avec l’adhésion </w:t>
      </w:r>
      <w:r w:rsidRPr="007920A9">
        <w:rPr>
          <w:sz w:val="24"/>
          <w:szCs w:val="24"/>
        </w:rPr>
        <w:t>à la convention 108 du Conseil de L’Europe</w:t>
      </w:r>
      <w:r>
        <w:rPr>
          <w:sz w:val="24"/>
          <w:szCs w:val="24"/>
        </w:rPr>
        <w:t>, l</w:t>
      </w:r>
      <w:r w:rsidR="009B65CC" w:rsidRPr="007920A9">
        <w:rPr>
          <w:sz w:val="24"/>
          <w:szCs w:val="24"/>
        </w:rPr>
        <w:t xml:space="preserve">’Instance National de Protection des Données </w:t>
      </w:r>
      <w:r w:rsidR="005900E6" w:rsidRPr="007920A9">
        <w:rPr>
          <w:sz w:val="24"/>
          <w:szCs w:val="24"/>
        </w:rPr>
        <w:t>Personnelles</w:t>
      </w:r>
      <w:r w:rsidR="009B65CC" w:rsidRPr="007920A9">
        <w:rPr>
          <w:sz w:val="24"/>
          <w:szCs w:val="24"/>
        </w:rPr>
        <w:t xml:space="preserve"> (INPDP) travaille sur un nouveau projet de loi pour corriger les problèmes identifiés dans la </w:t>
      </w:r>
      <w:r w:rsidRPr="00037981">
        <w:rPr>
          <w:sz w:val="24"/>
          <w:szCs w:val="24"/>
        </w:rPr>
        <w:t>loi organique n° 2004-63 du 27 juillet 2004</w:t>
      </w:r>
      <w:r>
        <w:rPr>
          <w:sz w:val="24"/>
          <w:szCs w:val="24"/>
        </w:rPr>
        <w:t xml:space="preserve"> </w:t>
      </w:r>
      <w:r w:rsidR="009B65CC" w:rsidRPr="007920A9">
        <w:rPr>
          <w:rStyle w:val="Appelnotedebasdep"/>
          <w:sz w:val="24"/>
          <w:szCs w:val="24"/>
        </w:rPr>
        <w:footnoteReference w:id="41"/>
      </w:r>
      <w:r w:rsidR="002571F7">
        <w:rPr>
          <w:sz w:val="24"/>
          <w:szCs w:val="24"/>
        </w:rPr>
        <w:t>.</w:t>
      </w:r>
      <w:r w:rsidR="00D51AA7">
        <w:rPr>
          <w:sz w:val="24"/>
          <w:szCs w:val="24"/>
        </w:rPr>
        <w:t xml:space="preserve"> Ce projet de loi rendra l’Instance Nationale de la Protection des Données Publique (INPDP) indépendante. Cette loi, qui devrait entrer en vigueur en Mai 2018 permettra à la Tunisie d’être un des tout premier pays, avant la plupart des pays européens, à se conformer au </w:t>
      </w:r>
      <w:r w:rsidR="00D51AA7" w:rsidRPr="001B6DD5">
        <w:rPr>
          <w:sz w:val="24"/>
          <w:szCs w:val="24"/>
        </w:rPr>
        <w:t>règlement européen 2016/679</w:t>
      </w:r>
      <w:r w:rsidR="00D51AA7">
        <w:rPr>
          <w:rStyle w:val="Appelnotedebasdep"/>
        </w:rPr>
        <w:footnoteReference w:id="42"/>
      </w:r>
    </w:p>
    <w:p w14:paraId="6FA94597" w14:textId="7C62EDFE" w:rsidR="003A7E2D" w:rsidRDefault="003A7E2D" w:rsidP="008F3747">
      <w:pPr>
        <w:pStyle w:val="Paragraphedeliste"/>
        <w:numPr>
          <w:ilvl w:val="0"/>
          <w:numId w:val="7"/>
        </w:numPr>
        <w:jc w:val="both"/>
        <w:rPr>
          <w:sz w:val="24"/>
          <w:szCs w:val="24"/>
        </w:rPr>
      </w:pPr>
      <w:r w:rsidRPr="007920A9">
        <w:rPr>
          <w:sz w:val="24"/>
          <w:szCs w:val="24"/>
        </w:rPr>
        <w:t xml:space="preserve">La </w:t>
      </w:r>
      <w:r w:rsidR="009B65CC" w:rsidRPr="007920A9">
        <w:rPr>
          <w:sz w:val="24"/>
          <w:szCs w:val="24"/>
        </w:rPr>
        <w:t>Tunis</w:t>
      </w:r>
      <w:r w:rsidR="00A22EAA" w:rsidRPr="007920A9">
        <w:rPr>
          <w:sz w:val="24"/>
          <w:szCs w:val="24"/>
        </w:rPr>
        <w:t>ie</w:t>
      </w:r>
      <w:r w:rsidRPr="007920A9">
        <w:rPr>
          <w:sz w:val="24"/>
          <w:szCs w:val="24"/>
        </w:rPr>
        <w:t xml:space="preserve"> a ratifié également la « Convention de l’Union africaine sur la cyber sécurité et la protection des données à caractère personnel »</w:t>
      </w:r>
      <w:r w:rsidRPr="007920A9">
        <w:rPr>
          <w:rStyle w:val="Appelnotedebasdep"/>
          <w:sz w:val="24"/>
          <w:szCs w:val="24"/>
        </w:rPr>
        <w:footnoteReference w:id="43"/>
      </w:r>
      <w:r w:rsidR="009B65CC" w:rsidRPr="007920A9">
        <w:rPr>
          <w:sz w:val="24"/>
          <w:szCs w:val="24"/>
        </w:rPr>
        <w:t xml:space="preserve"> en Juin 1994</w:t>
      </w:r>
    </w:p>
    <w:p w14:paraId="7A512A99" w14:textId="4157DBE7" w:rsidR="00D51AA7" w:rsidRDefault="00D51AA7" w:rsidP="00D5699E">
      <w:pPr>
        <w:pStyle w:val="Paragraphedeliste"/>
        <w:numPr>
          <w:ilvl w:val="0"/>
          <w:numId w:val="83"/>
        </w:numPr>
        <w:jc w:val="both"/>
        <w:rPr>
          <w:sz w:val="24"/>
          <w:szCs w:val="24"/>
        </w:rPr>
      </w:pPr>
      <w:r>
        <w:rPr>
          <w:sz w:val="24"/>
          <w:szCs w:val="24"/>
        </w:rPr>
        <w:t xml:space="preserve">L’ensemble de l’administration, y compris le système judiciaire, ainsi que la SC est peu sensibilisé à la protection des données personnelles et </w:t>
      </w:r>
      <w:r w:rsidR="006B5D45">
        <w:rPr>
          <w:sz w:val="24"/>
          <w:szCs w:val="24"/>
        </w:rPr>
        <w:t>son champ</w:t>
      </w:r>
      <w:r>
        <w:rPr>
          <w:sz w:val="24"/>
          <w:szCs w:val="24"/>
        </w:rPr>
        <w:t xml:space="preserve"> d’application.</w:t>
      </w:r>
    </w:p>
    <w:p w14:paraId="46D4EF21" w14:textId="1536FA73" w:rsidR="00D51AA7" w:rsidRPr="007920A9" w:rsidRDefault="00D51AA7" w:rsidP="00D5699E">
      <w:pPr>
        <w:pStyle w:val="Paragraphedeliste"/>
        <w:numPr>
          <w:ilvl w:val="0"/>
          <w:numId w:val="84"/>
        </w:numPr>
        <w:jc w:val="both"/>
        <w:rPr>
          <w:sz w:val="24"/>
          <w:szCs w:val="24"/>
        </w:rPr>
      </w:pPr>
      <w:r>
        <w:rPr>
          <w:sz w:val="24"/>
          <w:szCs w:val="24"/>
        </w:rPr>
        <w:t xml:space="preserve">Le </w:t>
      </w:r>
      <w:r w:rsidR="009E42EF">
        <w:rPr>
          <w:sz w:val="24"/>
          <w:szCs w:val="24"/>
        </w:rPr>
        <w:t xml:space="preserve">Chef du Gouvernement </w:t>
      </w:r>
      <w:r>
        <w:rPr>
          <w:sz w:val="24"/>
          <w:szCs w:val="24"/>
        </w:rPr>
        <w:t xml:space="preserve">actuel est beaucoup plus sensibilisé au sujet que le précédent et a signé la circulaire </w:t>
      </w:r>
      <w:r w:rsidR="0089426E" w:rsidRPr="00D337F3">
        <w:rPr>
          <w:sz w:val="24"/>
          <w:szCs w:val="24"/>
        </w:rPr>
        <w:t xml:space="preserve">n° </w:t>
      </w:r>
      <w:r w:rsidRPr="00D337F3">
        <w:rPr>
          <w:sz w:val="24"/>
          <w:szCs w:val="24"/>
        </w:rPr>
        <w:t>2016-17</w:t>
      </w:r>
      <w:r>
        <w:rPr>
          <w:sz w:val="24"/>
          <w:szCs w:val="24"/>
        </w:rPr>
        <w:t xml:space="preserve"> dès le début de son mandat.</w:t>
      </w:r>
    </w:p>
    <w:p w14:paraId="4BDFB2A8" w14:textId="6C701260" w:rsidR="00FA1BB6" w:rsidRPr="007920A9" w:rsidRDefault="00FA1BB6" w:rsidP="00026C12">
      <w:pPr>
        <w:pStyle w:val="Default"/>
        <w:jc w:val="both"/>
        <w:rPr>
          <w:rFonts w:asciiTheme="minorHAnsi" w:hAnsiTheme="minorHAnsi"/>
          <w:b/>
          <w:bCs/>
          <w:color w:val="auto"/>
          <w:lang w:val="fr-FR"/>
        </w:rPr>
      </w:pPr>
      <w:r w:rsidRPr="007920A9">
        <w:rPr>
          <w:rFonts w:asciiTheme="minorHAnsi" w:hAnsiTheme="minorHAnsi"/>
          <w:b/>
          <w:bCs/>
          <w:color w:val="auto"/>
          <w:lang w:val="fr-FR"/>
        </w:rPr>
        <w:t>2.2 Quelles sont les règlements / lois sur l’accès aux informations publiques/administratives (Importance</w:t>
      </w:r>
      <w:r w:rsidR="00376A9E">
        <w:rPr>
          <w:rFonts w:asciiTheme="minorHAnsi" w:hAnsiTheme="minorHAnsi"/>
          <w:b/>
          <w:bCs/>
          <w:color w:val="auto"/>
          <w:lang w:val="fr-FR"/>
        </w:rPr>
        <w:t xml:space="preserve"> </w:t>
      </w:r>
      <w:r w:rsidRPr="007920A9">
        <w:rPr>
          <w:rFonts w:asciiTheme="minorHAnsi" w:hAnsiTheme="minorHAnsi"/>
          <w:b/>
          <w:bCs/>
          <w:color w:val="auto"/>
          <w:lang w:val="fr-FR"/>
        </w:rPr>
        <w:t>: Très Élevée).</w:t>
      </w:r>
      <w:r w:rsidR="003A7E2D" w:rsidRPr="007920A9">
        <w:rPr>
          <w:rFonts w:asciiTheme="minorHAnsi" w:hAnsiTheme="minorHAnsi"/>
          <w:b/>
          <w:bCs/>
          <w:color w:val="auto"/>
          <w:lang w:val="fr-FR"/>
        </w:rPr>
        <w:t xml:space="preserve"> </w:t>
      </w:r>
      <w:r w:rsidR="00334F88">
        <w:rPr>
          <w:b/>
          <w:bCs/>
          <w:highlight w:val="yellow"/>
        </w:rPr>
        <w:t>Jaune</w:t>
      </w:r>
      <w:r w:rsidR="00275865" w:rsidRPr="00334F88">
        <w:rPr>
          <w:b/>
          <w:bCs/>
          <w:lang w:val="fr-FR"/>
        </w:rPr>
        <w:t>/</w:t>
      </w:r>
      <w:r w:rsidR="00334F88" w:rsidRPr="00334F88">
        <w:rPr>
          <w:b/>
          <w:bCs/>
          <w:highlight w:val="green"/>
          <w:lang w:val="fr-FR"/>
        </w:rPr>
        <w:t>Vert</w:t>
      </w:r>
    </w:p>
    <w:p w14:paraId="2EB26944" w14:textId="44348FB6" w:rsidR="00F80D72" w:rsidRPr="007920A9" w:rsidRDefault="00F80D72" w:rsidP="001C539E">
      <w:pPr>
        <w:pStyle w:val="Default"/>
        <w:numPr>
          <w:ilvl w:val="0"/>
          <w:numId w:val="31"/>
        </w:numPr>
        <w:jc w:val="both"/>
        <w:rPr>
          <w:rFonts w:asciiTheme="minorHAnsi" w:hAnsiTheme="minorHAnsi"/>
          <w:bCs/>
          <w:color w:val="auto"/>
          <w:lang w:val="fr-FR"/>
        </w:rPr>
      </w:pPr>
      <w:r w:rsidRPr="007920A9">
        <w:rPr>
          <w:rFonts w:asciiTheme="minorHAnsi" w:hAnsiTheme="minorHAnsi"/>
          <w:bCs/>
          <w:color w:val="auto"/>
          <w:lang w:val="fr-FR"/>
        </w:rPr>
        <w:t>La constitution tunisienne dans son article 32 stipule « Le droit d'accès à l'information est garanti »</w:t>
      </w:r>
    </w:p>
    <w:p w14:paraId="22A6B2E8" w14:textId="23C12161" w:rsidR="008B3687" w:rsidRPr="007920A9" w:rsidRDefault="00F80D72" w:rsidP="001C539E">
      <w:pPr>
        <w:pStyle w:val="Default"/>
        <w:numPr>
          <w:ilvl w:val="0"/>
          <w:numId w:val="31"/>
        </w:numPr>
        <w:jc w:val="both"/>
        <w:rPr>
          <w:rFonts w:asciiTheme="minorHAnsi" w:hAnsiTheme="minorHAnsi"/>
          <w:bCs/>
          <w:color w:val="auto"/>
          <w:lang w:val="fr-FR"/>
        </w:rPr>
      </w:pPr>
      <w:r w:rsidRPr="007920A9">
        <w:rPr>
          <w:rFonts w:asciiTheme="minorHAnsi" w:hAnsiTheme="minorHAnsi"/>
          <w:bCs/>
          <w:color w:val="auto"/>
          <w:lang w:val="fr-FR"/>
        </w:rPr>
        <w:t xml:space="preserve">Une première série de </w:t>
      </w:r>
      <w:r w:rsidR="008A2E32">
        <w:rPr>
          <w:rFonts w:asciiTheme="minorHAnsi" w:hAnsiTheme="minorHAnsi"/>
          <w:bCs/>
          <w:color w:val="auto"/>
          <w:lang w:val="fr-FR"/>
        </w:rPr>
        <w:t>décrets-</w:t>
      </w:r>
      <w:r w:rsidR="008A2E32" w:rsidRPr="007920A9">
        <w:rPr>
          <w:rFonts w:asciiTheme="minorHAnsi" w:hAnsiTheme="minorHAnsi"/>
          <w:bCs/>
          <w:color w:val="auto"/>
          <w:lang w:val="fr-FR"/>
        </w:rPr>
        <w:t>lois</w:t>
      </w:r>
      <w:r w:rsidRPr="007920A9">
        <w:rPr>
          <w:rFonts w:asciiTheme="minorHAnsi" w:hAnsiTheme="minorHAnsi"/>
          <w:bCs/>
          <w:color w:val="auto"/>
          <w:lang w:val="fr-FR"/>
        </w:rPr>
        <w:t xml:space="preserve"> sur l’accès à l’information et l’accès aux documents administratifs a été mis en place après la révolution en Mai 2011</w:t>
      </w:r>
      <w:r w:rsidRPr="007920A9">
        <w:rPr>
          <w:rStyle w:val="Appelnotedebasdep"/>
          <w:rFonts w:asciiTheme="minorHAnsi" w:hAnsiTheme="minorHAnsi"/>
          <w:bCs/>
          <w:color w:val="auto"/>
          <w:lang w:val="fr-FR"/>
        </w:rPr>
        <w:footnoteReference w:id="44"/>
      </w:r>
    </w:p>
    <w:p w14:paraId="37971F31" w14:textId="2C465F9D" w:rsidR="00F80D72" w:rsidRPr="00FF0ED5" w:rsidRDefault="00F80D72" w:rsidP="001C539E">
      <w:pPr>
        <w:pStyle w:val="Paragraphedeliste"/>
        <w:numPr>
          <w:ilvl w:val="0"/>
          <w:numId w:val="31"/>
        </w:numPr>
        <w:rPr>
          <w:rFonts w:cs="Arial"/>
          <w:bCs/>
          <w:sz w:val="24"/>
          <w:szCs w:val="24"/>
        </w:rPr>
      </w:pPr>
      <w:r w:rsidRPr="00FF0ED5">
        <w:rPr>
          <w:rFonts w:cs="Arial"/>
          <w:bCs/>
          <w:sz w:val="24"/>
          <w:szCs w:val="24"/>
        </w:rPr>
        <w:t>Une nouvelle</w:t>
      </w:r>
      <w:r w:rsidRPr="001B6DD5">
        <w:rPr>
          <w:bCs/>
          <w:sz w:val="24"/>
          <w:szCs w:val="24"/>
        </w:rPr>
        <w:t xml:space="preserve"> </w:t>
      </w:r>
      <w:hyperlink r:id="rId19" w:history="1">
        <w:r w:rsidR="007F7913">
          <w:rPr>
            <w:rStyle w:val="Lienhypertexte"/>
            <w:sz w:val="24"/>
            <w:szCs w:val="24"/>
          </w:rPr>
          <w:t>l</w:t>
        </w:r>
        <w:r w:rsidRPr="001B6DD5">
          <w:rPr>
            <w:rStyle w:val="Lienhypertexte"/>
            <w:sz w:val="24"/>
            <w:szCs w:val="24"/>
          </w:rPr>
          <w:t>oi organique n° 2016-22 du 24 mars 2016, relative au droit d’accès à l’information</w:t>
        </w:r>
      </w:hyperlink>
      <w:r w:rsidRPr="007920A9">
        <w:t xml:space="preserve"> </w:t>
      </w:r>
      <w:r w:rsidRPr="001B6DD5">
        <w:rPr>
          <w:rFonts w:cs="Arial"/>
          <w:bCs/>
          <w:sz w:val="24"/>
          <w:szCs w:val="24"/>
        </w:rPr>
        <w:t xml:space="preserve">entrée en vigueur élargit </w:t>
      </w:r>
      <w:r w:rsidR="00376A9E" w:rsidRPr="001B6DD5">
        <w:rPr>
          <w:rFonts w:cs="Arial"/>
          <w:bCs/>
          <w:sz w:val="24"/>
          <w:szCs w:val="24"/>
        </w:rPr>
        <w:t>le champ</w:t>
      </w:r>
      <w:r w:rsidRPr="001B6DD5">
        <w:rPr>
          <w:rFonts w:cs="Arial"/>
          <w:bCs/>
          <w:sz w:val="24"/>
          <w:szCs w:val="24"/>
        </w:rPr>
        <w:t xml:space="preserve"> des lois de 2011 et intègre la publication pro-active de données. Cette loi est évaluée parmi les meilleurs par RIT-Rating</w:t>
      </w:r>
      <w:r w:rsidRPr="004E0C69">
        <w:rPr>
          <w:rFonts w:cs="Arial"/>
          <w:bCs/>
          <w:sz w:val="24"/>
          <w:szCs w:val="24"/>
          <w:vertAlign w:val="superscript"/>
        </w:rPr>
        <w:footnoteReference w:id="45"/>
      </w:r>
      <w:r w:rsidR="00D337F3" w:rsidRPr="00FF0ED5">
        <w:rPr>
          <w:rFonts w:cs="Arial"/>
          <w:bCs/>
          <w:sz w:val="24"/>
          <w:szCs w:val="24"/>
        </w:rPr>
        <w:t xml:space="preserve"> (1</w:t>
      </w:r>
      <w:r w:rsidR="00037981">
        <w:rPr>
          <w:rFonts w:cs="Arial"/>
          <w:bCs/>
          <w:sz w:val="24"/>
          <w:szCs w:val="24"/>
        </w:rPr>
        <w:t>1</w:t>
      </w:r>
      <w:r w:rsidR="00D337F3" w:rsidRPr="001B6DD5">
        <w:rPr>
          <w:rFonts w:cs="Arial"/>
          <w:bCs/>
          <w:sz w:val="24"/>
          <w:szCs w:val="24"/>
        </w:rPr>
        <w:t>ème</w:t>
      </w:r>
      <w:r w:rsidR="00D337F3" w:rsidRPr="00FF0ED5">
        <w:rPr>
          <w:rFonts w:cs="Arial"/>
          <w:bCs/>
          <w:sz w:val="24"/>
          <w:szCs w:val="24"/>
        </w:rPr>
        <w:t xml:space="preserve"> au niveau mondial</w:t>
      </w:r>
      <w:r w:rsidR="00037981">
        <w:rPr>
          <w:rFonts w:cs="Arial"/>
          <w:bCs/>
          <w:sz w:val="24"/>
          <w:szCs w:val="24"/>
        </w:rPr>
        <w:t xml:space="preserve"> à ce jour</w:t>
      </w:r>
      <w:r w:rsidR="00D337F3" w:rsidRPr="00FF0ED5">
        <w:rPr>
          <w:rFonts w:cs="Arial"/>
          <w:bCs/>
          <w:sz w:val="24"/>
          <w:szCs w:val="24"/>
        </w:rPr>
        <w:t>)</w:t>
      </w:r>
    </w:p>
    <w:p w14:paraId="259C14B1" w14:textId="22CECF32" w:rsidR="00280EE0" w:rsidRPr="001B6DD5" w:rsidRDefault="00280EE0" w:rsidP="00D5699E">
      <w:pPr>
        <w:pStyle w:val="Paragraphedeliste"/>
        <w:numPr>
          <w:ilvl w:val="0"/>
          <w:numId w:val="51"/>
        </w:numPr>
        <w:rPr>
          <w:rFonts w:cs="Arial"/>
          <w:bCs/>
          <w:sz w:val="24"/>
          <w:szCs w:val="24"/>
        </w:rPr>
      </w:pPr>
      <w:r w:rsidRPr="001B6DD5">
        <w:rPr>
          <w:rFonts w:cs="Arial"/>
          <w:bCs/>
          <w:sz w:val="24"/>
          <w:szCs w:val="24"/>
        </w:rPr>
        <w:t xml:space="preserve">La </w:t>
      </w:r>
      <w:hyperlink r:id="rId20" w:history="1">
        <w:r w:rsidR="007F7913">
          <w:rPr>
            <w:rStyle w:val="Lienhypertexte"/>
            <w:sz w:val="24"/>
            <w:szCs w:val="24"/>
          </w:rPr>
          <w:t>l</w:t>
        </w:r>
        <w:r w:rsidR="00037981" w:rsidRPr="001B6DD5">
          <w:rPr>
            <w:rStyle w:val="Lienhypertexte"/>
            <w:sz w:val="24"/>
            <w:szCs w:val="24"/>
          </w:rPr>
          <w:t>oi organique n° 2016-22 du 24 mars 2016, relative au droit d’accès à l’information</w:t>
        </w:r>
      </w:hyperlink>
      <w:r w:rsidR="00037981">
        <w:rPr>
          <w:rStyle w:val="Lienhypertexte"/>
          <w:sz w:val="24"/>
          <w:szCs w:val="24"/>
        </w:rPr>
        <w:t xml:space="preserve"> </w:t>
      </w:r>
      <w:r w:rsidRPr="001B6DD5">
        <w:rPr>
          <w:rFonts w:cs="Arial"/>
          <w:bCs/>
          <w:sz w:val="24"/>
          <w:szCs w:val="24"/>
        </w:rPr>
        <w:t>devait entrer en application en Mars 2017 mais les décrets d’application n’ont pas encore été publié et la loi n’est donc pas encore en vigueur</w:t>
      </w:r>
      <w:r w:rsidR="00E130EB" w:rsidRPr="001B6DD5">
        <w:rPr>
          <w:rFonts w:cs="Arial"/>
          <w:bCs/>
          <w:sz w:val="24"/>
          <w:szCs w:val="24"/>
        </w:rPr>
        <w:t>. C</w:t>
      </w:r>
      <w:r w:rsidR="00FF0ED5">
        <w:rPr>
          <w:rFonts w:cs="Arial"/>
          <w:bCs/>
          <w:sz w:val="24"/>
          <w:szCs w:val="24"/>
        </w:rPr>
        <w:t>e</w:t>
      </w:r>
      <w:r w:rsidR="00E130EB" w:rsidRPr="001B6DD5">
        <w:rPr>
          <w:rFonts w:cs="Arial"/>
          <w:bCs/>
          <w:sz w:val="24"/>
          <w:szCs w:val="24"/>
        </w:rPr>
        <w:t xml:space="preserve"> manque de décret d’application a été souligné par plusieurs acteurs de la SC.</w:t>
      </w:r>
    </w:p>
    <w:p w14:paraId="4749BC35" w14:textId="34709B06" w:rsidR="00DE11B9" w:rsidRPr="001B6DD5" w:rsidRDefault="00E130EB" w:rsidP="001C539E">
      <w:pPr>
        <w:pStyle w:val="Paragraphedeliste"/>
        <w:numPr>
          <w:ilvl w:val="0"/>
          <w:numId w:val="31"/>
        </w:numPr>
        <w:jc w:val="both"/>
        <w:rPr>
          <w:rFonts w:cs="Arial"/>
          <w:bCs/>
          <w:sz w:val="24"/>
          <w:szCs w:val="24"/>
        </w:rPr>
      </w:pPr>
      <w:r w:rsidRPr="001B6DD5">
        <w:rPr>
          <w:rFonts w:cs="Arial"/>
          <w:bCs/>
          <w:sz w:val="24"/>
          <w:szCs w:val="24"/>
        </w:rPr>
        <w:t xml:space="preserve">La DGRPA a déjà identifié l’ensemble des décrets et des projets sont déjà développés. Les publications ne </w:t>
      </w:r>
      <w:r w:rsidR="006B5D45" w:rsidRPr="001B6DD5">
        <w:rPr>
          <w:rFonts w:cs="Arial"/>
          <w:bCs/>
          <w:sz w:val="24"/>
          <w:szCs w:val="24"/>
        </w:rPr>
        <w:t>devraient</w:t>
      </w:r>
      <w:r w:rsidRPr="001B6DD5">
        <w:rPr>
          <w:rFonts w:cs="Arial"/>
          <w:bCs/>
          <w:sz w:val="24"/>
          <w:szCs w:val="24"/>
        </w:rPr>
        <w:t xml:space="preserve"> plus tarder.</w:t>
      </w:r>
    </w:p>
    <w:p w14:paraId="2521A8C8" w14:textId="72EF7DBD" w:rsidR="003B0DF1" w:rsidRPr="001B6DD5" w:rsidRDefault="00585731" w:rsidP="001C539E">
      <w:pPr>
        <w:pStyle w:val="Paragraphedeliste"/>
        <w:numPr>
          <w:ilvl w:val="0"/>
          <w:numId w:val="31"/>
        </w:numPr>
        <w:jc w:val="both"/>
        <w:rPr>
          <w:rFonts w:cs="Arial"/>
          <w:bCs/>
          <w:sz w:val="24"/>
          <w:szCs w:val="24"/>
        </w:rPr>
      </w:pPr>
      <w:r w:rsidRPr="001B6DD5">
        <w:rPr>
          <w:rFonts w:cs="Arial"/>
          <w:bCs/>
          <w:sz w:val="24"/>
          <w:szCs w:val="24"/>
        </w:rPr>
        <w:t xml:space="preserve">La </w:t>
      </w:r>
      <w:hyperlink r:id="rId21" w:history="1">
        <w:r w:rsidR="007F7913">
          <w:rPr>
            <w:rStyle w:val="Lienhypertexte"/>
            <w:sz w:val="24"/>
            <w:szCs w:val="24"/>
          </w:rPr>
          <w:t>l</w:t>
        </w:r>
        <w:r w:rsidR="00037981" w:rsidRPr="001B6DD5">
          <w:rPr>
            <w:rStyle w:val="Lienhypertexte"/>
            <w:sz w:val="24"/>
            <w:szCs w:val="24"/>
          </w:rPr>
          <w:t>oi organique n° 2016-22 du 24 mars 2016, relative au droit d’accès à l’information</w:t>
        </w:r>
      </w:hyperlink>
      <w:r w:rsidR="00037981">
        <w:rPr>
          <w:rStyle w:val="Lienhypertexte"/>
          <w:sz w:val="24"/>
          <w:szCs w:val="24"/>
        </w:rPr>
        <w:t xml:space="preserve"> </w:t>
      </w:r>
      <w:r w:rsidRPr="001B6DD5">
        <w:rPr>
          <w:rFonts w:cs="Arial"/>
          <w:bCs/>
          <w:sz w:val="24"/>
          <w:szCs w:val="24"/>
        </w:rPr>
        <w:t>établi une autorité indépendante, l'Instance d'accès à l'information, ainsi qu’un réseau de chargé d’accès à l’information</w:t>
      </w:r>
      <w:r w:rsidR="00DE11B9" w:rsidRPr="001B6DD5">
        <w:rPr>
          <w:rFonts w:cs="Arial"/>
          <w:bCs/>
          <w:sz w:val="24"/>
          <w:szCs w:val="24"/>
        </w:rPr>
        <w:t xml:space="preserve"> (CAI)</w:t>
      </w:r>
      <w:r w:rsidRPr="001B6DD5">
        <w:rPr>
          <w:rFonts w:cs="Arial"/>
          <w:bCs/>
          <w:sz w:val="24"/>
          <w:szCs w:val="24"/>
        </w:rPr>
        <w:t xml:space="preserve"> dans chaque agence et ministère.</w:t>
      </w:r>
    </w:p>
    <w:p w14:paraId="41FEA968" w14:textId="50A53FFC" w:rsidR="00DE11B9" w:rsidRPr="001B6DD5" w:rsidRDefault="00DE11B9" w:rsidP="001C539E">
      <w:pPr>
        <w:pStyle w:val="Paragraphedeliste"/>
        <w:numPr>
          <w:ilvl w:val="0"/>
          <w:numId w:val="31"/>
        </w:numPr>
        <w:jc w:val="both"/>
        <w:rPr>
          <w:rFonts w:cs="Arial"/>
          <w:bCs/>
          <w:sz w:val="24"/>
          <w:szCs w:val="24"/>
        </w:rPr>
      </w:pPr>
      <w:r w:rsidRPr="001B6DD5">
        <w:rPr>
          <w:rFonts w:cs="Arial"/>
          <w:bCs/>
          <w:sz w:val="24"/>
          <w:szCs w:val="24"/>
        </w:rPr>
        <w:t>L’OCDE finance actuellement la DGRPA pour la réalisation de 2 guides concernant la loi d’accès</w:t>
      </w:r>
      <w:r w:rsidR="007F7913">
        <w:rPr>
          <w:rFonts w:cs="Arial"/>
          <w:bCs/>
          <w:sz w:val="24"/>
          <w:szCs w:val="24"/>
        </w:rPr>
        <w:t xml:space="preserve"> à l’information</w:t>
      </w:r>
      <w:r w:rsidRPr="001B6DD5">
        <w:rPr>
          <w:rFonts w:cs="Arial"/>
          <w:bCs/>
          <w:sz w:val="24"/>
          <w:szCs w:val="24"/>
        </w:rPr>
        <w:t>, un pour les CAI et un pour la SC.</w:t>
      </w:r>
    </w:p>
    <w:p w14:paraId="48C3D3BC" w14:textId="68B7ADEC" w:rsidR="003B0DF1" w:rsidRPr="001B6DD5" w:rsidRDefault="003B0DF1" w:rsidP="001C539E">
      <w:pPr>
        <w:pStyle w:val="Paragraphedeliste"/>
        <w:numPr>
          <w:ilvl w:val="0"/>
          <w:numId w:val="33"/>
        </w:numPr>
        <w:rPr>
          <w:rFonts w:cs="Arial"/>
          <w:bCs/>
          <w:sz w:val="24"/>
          <w:szCs w:val="24"/>
        </w:rPr>
      </w:pPr>
      <w:r w:rsidRPr="001B6DD5">
        <w:rPr>
          <w:rFonts w:cs="Arial"/>
          <w:bCs/>
          <w:sz w:val="24"/>
          <w:szCs w:val="24"/>
        </w:rPr>
        <w:t xml:space="preserve">La </w:t>
      </w:r>
      <w:hyperlink r:id="rId22" w:history="1">
        <w:r w:rsidR="007F7913">
          <w:rPr>
            <w:rStyle w:val="Lienhypertexte"/>
            <w:sz w:val="24"/>
            <w:szCs w:val="24"/>
          </w:rPr>
          <w:t>l</w:t>
        </w:r>
        <w:r w:rsidR="00037981" w:rsidRPr="001B6DD5">
          <w:rPr>
            <w:rStyle w:val="Lienhypertexte"/>
            <w:sz w:val="24"/>
            <w:szCs w:val="24"/>
          </w:rPr>
          <w:t>oi organique n° 2016-22 du 24 mars 2016, relative au droit d’accès à l’information</w:t>
        </w:r>
      </w:hyperlink>
      <w:r w:rsidR="00037981">
        <w:rPr>
          <w:rStyle w:val="Lienhypertexte"/>
          <w:sz w:val="24"/>
          <w:szCs w:val="24"/>
        </w:rPr>
        <w:t xml:space="preserve"> </w:t>
      </w:r>
      <w:r w:rsidRPr="001B6DD5">
        <w:rPr>
          <w:rFonts w:cs="Arial"/>
          <w:bCs/>
          <w:sz w:val="24"/>
          <w:szCs w:val="24"/>
        </w:rPr>
        <w:t xml:space="preserve">n’intègre pas l’accès aux registres et aux bases de données mais </w:t>
      </w:r>
      <w:r w:rsidR="006B5D45" w:rsidRPr="001B6DD5">
        <w:rPr>
          <w:rFonts w:cs="Arial"/>
          <w:bCs/>
          <w:sz w:val="24"/>
          <w:szCs w:val="24"/>
        </w:rPr>
        <w:t>seuls les documents produits</w:t>
      </w:r>
      <w:r w:rsidRPr="001B6DD5">
        <w:rPr>
          <w:rFonts w:cs="Arial"/>
          <w:bCs/>
          <w:sz w:val="24"/>
          <w:szCs w:val="24"/>
        </w:rPr>
        <w:t xml:space="preserve"> sont concernés</w:t>
      </w:r>
    </w:p>
    <w:p w14:paraId="6CFB6DF6" w14:textId="69983716" w:rsidR="005900E6" w:rsidRPr="001B6DD5" w:rsidRDefault="005900E6" w:rsidP="001B6DD5">
      <w:pPr>
        <w:pStyle w:val="Paragraphedeliste"/>
        <w:numPr>
          <w:ilvl w:val="0"/>
          <w:numId w:val="33"/>
        </w:numPr>
        <w:jc w:val="both"/>
        <w:rPr>
          <w:rFonts w:cs="Arial"/>
          <w:bCs/>
          <w:sz w:val="24"/>
          <w:szCs w:val="24"/>
        </w:rPr>
      </w:pPr>
      <w:r w:rsidRPr="001B6DD5">
        <w:rPr>
          <w:rFonts w:cs="Arial"/>
          <w:bCs/>
          <w:sz w:val="24"/>
          <w:szCs w:val="24"/>
        </w:rPr>
        <w:t xml:space="preserve">La </w:t>
      </w:r>
      <w:hyperlink r:id="rId23" w:history="1">
        <w:r w:rsidR="007F7913">
          <w:rPr>
            <w:rStyle w:val="Lienhypertexte"/>
            <w:sz w:val="24"/>
            <w:szCs w:val="24"/>
          </w:rPr>
          <w:t xml:space="preserve">l </w:t>
        </w:r>
        <w:r w:rsidR="00037981" w:rsidRPr="001B6DD5">
          <w:rPr>
            <w:rStyle w:val="Lienhypertexte"/>
            <w:sz w:val="24"/>
            <w:szCs w:val="24"/>
          </w:rPr>
          <w:t>oi organique n° 2016-22 du 24 mars 2016, relative au droit d’accès à l’information</w:t>
        </w:r>
      </w:hyperlink>
      <w:r w:rsidR="00037981">
        <w:rPr>
          <w:rStyle w:val="Lienhypertexte"/>
          <w:sz w:val="24"/>
          <w:szCs w:val="24"/>
        </w:rPr>
        <w:t xml:space="preserve"> </w:t>
      </w:r>
      <w:r w:rsidRPr="001B6DD5">
        <w:rPr>
          <w:rFonts w:cs="Arial"/>
          <w:bCs/>
          <w:sz w:val="24"/>
          <w:szCs w:val="24"/>
        </w:rPr>
        <w:t>ne mentionne pas la réutilisation des données fournies dans le cadre de la loi</w:t>
      </w:r>
    </w:p>
    <w:p w14:paraId="202F65BE" w14:textId="0F86269B" w:rsidR="003B0DF1" w:rsidRPr="001B6DD5" w:rsidRDefault="003B0DF1" w:rsidP="001B6DD5">
      <w:pPr>
        <w:pStyle w:val="Paragraphedeliste"/>
        <w:numPr>
          <w:ilvl w:val="0"/>
          <w:numId w:val="33"/>
        </w:numPr>
        <w:jc w:val="both"/>
        <w:rPr>
          <w:sz w:val="24"/>
          <w:szCs w:val="24"/>
        </w:rPr>
      </w:pPr>
      <w:r w:rsidRPr="001B6DD5">
        <w:rPr>
          <w:sz w:val="24"/>
          <w:szCs w:val="24"/>
        </w:rPr>
        <w:t xml:space="preserve">La </w:t>
      </w:r>
      <w:hyperlink r:id="rId24" w:history="1">
        <w:r w:rsidR="007F7913">
          <w:rPr>
            <w:rStyle w:val="Lienhypertexte"/>
            <w:sz w:val="24"/>
            <w:szCs w:val="24"/>
          </w:rPr>
          <w:t>l</w:t>
        </w:r>
        <w:r w:rsidR="00037981" w:rsidRPr="001B6DD5">
          <w:rPr>
            <w:rStyle w:val="Lienhypertexte"/>
            <w:sz w:val="24"/>
            <w:szCs w:val="24"/>
          </w:rPr>
          <w:t>oi organique n° 2016-22 du 24 mars 2016, relative au droit d’accès à l’information</w:t>
        </w:r>
      </w:hyperlink>
      <w:r w:rsidR="00037981">
        <w:rPr>
          <w:rStyle w:val="Lienhypertexte"/>
          <w:sz w:val="24"/>
          <w:szCs w:val="24"/>
        </w:rPr>
        <w:t xml:space="preserve"> </w:t>
      </w:r>
      <w:r w:rsidRPr="001B6DD5">
        <w:rPr>
          <w:sz w:val="24"/>
          <w:szCs w:val="24"/>
        </w:rPr>
        <w:t>ne fait pas mention de format électronique ou de centralisation des publication</w:t>
      </w:r>
      <w:r w:rsidR="00376A9E" w:rsidRPr="001B6DD5">
        <w:rPr>
          <w:sz w:val="24"/>
          <w:szCs w:val="24"/>
        </w:rPr>
        <w:t>s</w:t>
      </w:r>
      <w:r w:rsidR="00D337F3" w:rsidRPr="001B6DD5">
        <w:rPr>
          <w:sz w:val="24"/>
          <w:szCs w:val="24"/>
        </w:rPr>
        <w:t>, à l’exception de l’Article 6 qui mentionne « Les organismes assujettis aux dispositions</w:t>
      </w:r>
      <w:r w:rsidR="00E77574" w:rsidRPr="001B6DD5">
        <w:rPr>
          <w:sz w:val="24"/>
          <w:szCs w:val="24"/>
        </w:rPr>
        <w:t xml:space="preserve"> </w:t>
      </w:r>
      <w:r w:rsidR="00D337F3" w:rsidRPr="001B6DD5">
        <w:rPr>
          <w:sz w:val="24"/>
          <w:szCs w:val="24"/>
        </w:rPr>
        <w:t>de la présente loi, sont tenus de publier, d’actualiser,</w:t>
      </w:r>
      <w:r w:rsidR="00E77574" w:rsidRPr="001B6DD5">
        <w:rPr>
          <w:sz w:val="24"/>
          <w:szCs w:val="24"/>
        </w:rPr>
        <w:t xml:space="preserve"> </w:t>
      </w:r>
      <w:r w:rsidR="00D337F3" w:rsidRPr="001B6DD5">
        <w:rPr>
          <w:sz w:val="24"/>
          <w:szCs w:val="24"/>
        </w:rPr>
        <w:t>de mettre périodiquement à la disposition du public,</w:t>
      </w:r>
      <w:r w:rsidR="00E77574" w:rsidRPr="001B6DD5">
        <w:rPr>
          <w:sz w:val="24"/>
          <w:szCs w:val="24"/>
        </w:rPr>
        <w:t xml:space="preserve"> </w:t>
      </w:r>
      <w:r w:rsidR="00D337F3" w:rsidRPr="001B6DD5">
        <w:rPr>
          <w:sz w:val="24"/>
          <w:szCs w:val="24"/>
        </w:rPr>
        <w:t>dans une forme utilisable »</w:t>
      </w:r>
      <w:r w:rsidR="00E77574" w:rsidRPr="001B6DD5">
        <w:rPr>
          <w:sz w:val="24"/>
          <w:szCs w:val="24"/>
        </w:rPr>
        <w:t xml:space="preserve"> et l’article 12 qui autorise le demandeur à demander l’information sous format électronique.</w:t>
      </w:r>
    </w:p>
    <w:p w14:paraId="5BBF5D9B" w14:textId="2883B318" w:rsidR="003B0DF1" w:rsidRDefault="003B0DF1" w:rsidP="001B6DD5">
      <w:pPr>
        <w:pStyle w:val="Paragraphedeliste"/>
        <w:numPr>
          <w:ilvl w:val="0"/>
          <w:numId w:val="33"/>
        </w:numPr>
        <w:jc w:val="both"/>
        <w:rPr>
          <w:sz w:val="24"/>
          <w:szCs w:val="24"/>
        </w:rPr>
      </w:pPr>
      <w:r w:rsidRPr="001B6DD5">
        <w:rPr>
          <w:sz w:val="24"/>
          <w:szCs w:val="24"/>
        </w:rPr>
        <w:t xml:space="preserve">La </w:t>
      </w:r>
      <w:hyperlink r:id="rId25" w:history="1">
        <w:r w:rsidR="007F7913">
          <w:rPr>
            <w:rStyle w:val="Lienhypertexte"/>
            <w:sz w:val="24"/>
            <w:szCs w:val="24"/>
          </w:rPr>
          <w:t>l</w:t>
        </w:r>
        <w:r w:rsidR="00037981" w:rsidRPr="001B6DD5">
          <w:rPr>
            <w:rStyle w:val="Lienhypertexte"/>
            <w:sz w:val="24"/>
            <w:szCs w:val="24"/>
          </w:rPr>
          <w:t>oi organique n° 2016-22 du 24 mars 2016, relative au droit d’accès à l’information</w:t>
        </w:r>
      </w:hyperlink>
      <w:r w:rsidR="00037981">
        <w:rPr>
          <w:rStyle w:val="Lienhypertexte"/>
          <w:sz w:val="24"/>
          <w:szCs w:val="24"/>
        </w:rPr>
        <w:t xml:space="preserve"> </w:t>
      </w:r>
      <w:r w:rsidRPr="001B6DD5">
        <w:rPr>
          <w:sz w:val="24"/>
          <w:szCs w:val="24"/>
        </w:rPr>
        <w:t>ne propose pas d’indicateurs de mesures correctives pour les agences n’appliquant pas la loi</w:t>
      </w:r>
    </w:p>
    <w:p w14:paraId="72E6AC4D" w14:textId="1899B233" w:rsidR="00A25098" w:rsidRPr="001B6DD5" w:rsidRDefault="00A25098" w:rsidP="001B6DD5">
      <w:pPr>
        <w:pStyle w:val="Paragraphedeliste"/>
        <w:numPr>
          <w:ilvl w:val="0"/>
          <w:numId w:val="33"/>
        </w:numPr>
        <w:jc w:val="both"/>
        <w:rPr>
          <w:sz w:val="24"/>
          <w:szCs w:val="24"/>
        </w:rPr>
      </w:pPr>
      <w:r>
        <w:rPr>
          <w:sz w:val="24"/>
          <w:szCs w:val="24"/>
        </w:rPr>
        <w:t xml:space="preserve">L’ONG </w:t>
      </w:r>
      <w:r w:rsidRPr="00A25098">
        <w:rPr>
          <w:sz w:val="24"/>
          <w:szCs w:val="24"/>
        </w:rPr>
        <w:t xml:space="preserve">I-Watch </w:t>
      </w:r>
      <w:r w:rsidR="00563E19">
        <w:rPr>
          <w:sz w:val="24"/>
          <w:szCs w:val="24"/>
        </w:rPr>
        <w:t>recense</w:t>
      </w:r>
      <w:r w:rsidRPr="00A25098">
        <w:rPr>
          <w:sz w:val="24"/>
          <w:szCs w:val="24"/>
        </w:rPr>
        <w:t xml:space="preserve"> 22 ministères n’appliquant pas les disposition</w:t>
      </w:r>
      <w:r w:rsidR="007F7913">
        <w:rPr>
          <w:sz w:val="24"/>
          <w:szCs w:val="24"/>
        </w:rPr>
        <w:t>s</w:t>
      </w:r>
      <w:r w:rsidRPr="00A25098">
        <w:rPr>
          <w:sz w:val="24"/>
          <w:szCs w:val="24"/>
        </w:rPr>
        <w:t xml:space="preserve"> de la loi</w:t>
      </w:r>
      <w:r>
        <w:rPr>
          <w:rStyle w:val="Appelnotedebasdep"/>
          <w:sz w:val="24"/>
          <w:szCs w:val="24"/>
        </w:rPr>
        <w:footnoteReference w:id="46"/>
      </w:r>
    </w:p>
    <w:p w14:paraId="4A57AF0E" w14:textId="75374CE4" w:rsidR="003B0DF1" w:rsidRPr="001B6DD5" w:rsidRDefault="008A2E32" w:rsidP="001B6DD5">
      <w:pPr>
        <w:pStyle w:val="Paragraphedeliste"/>
        <w:numPr>
          <w:ilvl w:val="0"/>
          <w:numId w:val="33"/>
        </w:numPr>
        <w:jc w:val="both"/>
        <w:rPr>
          <w:sz w:val="24"/>
          <w:szCs w:val="24"/>
        </w:rPr>
      </w:pPr>
      <w:r>
        <w:rPr>
          <w:sz w:val="24"/>
          <w:szCs w:val="24"/>
        </w:rPr>
        <w:t>Beaucoup de sites référencent les décrets-lois</w:t>
      </w:r>
      <w:r w:rsidR="003B0DF1" w:rsidRPr="001B6DD5">
        <w:rPr>
          <w:sz w:val="24"/>
          <w:szCs w:val="24"/>
        </w:rPr>
        <w:t xml:space="preserve"> de 2011 </w:t>
      </w:r>
      <w:r>
        <w:rPr>
          <w:sz w:val="24"/>
          <w:szCs w:val="24"/>
        </w:rPr>
        <w:t xml:space="preserve">relatif à l’accès à l’information </w:t>
      </w:r>
      <w:r w:rsidR="003B0DF1" w:rsidRPr="001B6DD5">
        <w:rPr>
          <w:sz w:val="24"/>
          <w:szCs w:val="24"/>
        </w:rPr>
        <w:t>qui n’intégrai</w:t>
      </w:r>
      <w:r>
        <w:rPr>
          <w:sz w:val="24"/>
          <w:szCs w:val="24"/>
        </w:rPr>
        <w:t>en</w:t>
      </w:r>
      <w:r w:rsidR="003B0DF1" w:rsidRPr="001B6DD5">
        <w:rPr>
          <w:sz w:val="24"/>
          <w:szCs w:val="24"/>
        </w:rPr>
        <w:t>t pas de publication pro-active des données et ne publient pas d’information proactivement</w:t>
      </w:r>
      <w:r w:rsidR="005900E6" w:rsidRPr="001B6DD5">
        <w:rPr>
          <w:sz w:val="24"/>
          <w:szCs w:val="24"/>
        </w:rPr>
        <w:t>, malgré</w:t>
      </w:r>
      <w:r w:rsidR="003B0DF1" w:rsidRPr="001B6DD5">
        <w:rPr>
          <w:sz w:val="24"/>
          <w:szCs w:val="24"/>
        </w:rPr>
        <w:t xml:space="preserve"> l’appellation ‘open data’ :</w:t>
      </w:r>
    </w:p>
    <w:p w14:paraId="462C51F1" w14:textId="77777777" w:rsidR="003B0DF1" w:rsidRPr="007920A9" w:rsidRDefault="00E8606D" w:rsidP="001C539E">
      <w:pPr>
        <w:pStyle w:val="Paragraphedeliste"/>
        <w:numPr>
          <w:ilvl w:val="1"/>
          <w:numId w:val="33"/>
        </w:numPr>
      </w:pPr>
      <w:hyperlink r:id="rId26" w:history="1">
        <w:r w:rsidR="003B0DF1" w:rsidRPr="007920A9">
          <w:rPr>
            <w:rStyle w:val="Lienhypertexte"/>
          </w:rPr>
          <w:t>http://www.cni.tn/index.php/fr/open-data</w:t>
        </w:r>
      </w:hyperlink>
    </w:p>
    <w:p w14:paraId="5C468DA7" w14:textId="1152ABC0" w:rsidR="00585731" w:rsidRPr="00E77574" w:rsidRDefault="00E8606D" w:rsidP="001C539E">
      <w:pPr>
        <w:pStyle w:val="Paragraphedeliste"/>
        <w:numPr>
          <w:ilvl w:val="1"/>
          <w:numId w:val="33"/>
        </w:numPr>
        <w:rPr>
          <w:rStyle w:val="Lienhypertexte"/>
          <w:color w:val="auto"/>
          <w:u w:val="none"/>
        </w:rPr>
      </w:pPr>
      <w:hyperlink r:id="rId27" w:history="1">
        <w:r w:rsidR="003B0DF1" w:rsidRPr="007920A9">
          <w:rPr>
            <w:rStyle w:val="Lienhypertexte"/>
          </w:rPr>
          <w:t>http://www.finances.gov.tn/index.php?option=com_content&amp;view=article&amp;id=203:open-data&amp;catid=2:uncategorised&amp;Itemid=578&amp;lang=fr</w:t>
        </w:r>
      </w:hyperlink>
    </w:p>
    <w:p w14:paraId="2B93AEA2" w14:textId="5F7A6EB1" w:rsidR="00E77574" w:rsidRPr="001B6DD5" w:rsidRDefault="00E77574" w:rsidP="001B6DD5">
      <w:pPr>
        <w:pStyle w:val="Paragraphedeliste"/>
        <w:numPr>
          <w:ilvl w:val="0"/>
          <w:numId w:val="33"/>
        </w:numPr>
        <w:jc w:val="both"/>
        <w:rPr>
          <w:sz w:val="24"/>
          <w:szCs w:val="24"/>
        </w:rPr>
      </w:pPr>
      <w:r w:rsidRPr="001B6DD5">
        <w:rPr>
          <w:sz w:val="24"/>
          <w:szCs w:val="24"/>
        </w:rPr>
        <w:t xml:space="preserve">La </w:t>
      </w:r>
      <w:r w:rsidR="00037981">
        <w:rPr>
          <w:sz w:val="24"/>
          <w:szCs w:val="24"/>
        </w:rPr>
        <w:t>c</w:t>
      </w:r>
      <w:r w:rsidRPr="001B6DD5">
        <w:rPr>
          <w:sz w:val="24"/>
          <w:szCs w:val="24"/>
        </w:rPr>
        <w:t>irculaire n° 2017-4 du 16 janvier 2017, sur l’organisation du travail des cellules chargées de l’information et de la communication relevant des ministères et des établissements et entreprises</w:t>
      </w:r>
      <w:r w:rsidRPr="004E0C69">
        <w:rPr>
          <w:sz w:val="24"/>
          <w:szCs w:val="24"/>
          <w:vertAlign w:val="superscript"/>
        </w:rPr>
        <w:footnoteReference w:id="47"/>
      </w:r>
      <w:r w:rsidRPr="001B6DD5">
        <w:rPr>
          <w:sz w:val="24"/>
          <w:szCs w:val="24"/>
        </w:rPr>
        <w:t xml:space="preserve">, même si elle ne concerne pas directement le droit d’accès </w:t>
      </w:r>
      <w:r w:rsidR="007F7913">
        <w:rPr>
          <w:sz w:val="24"/>
          <w:szCs w:val="24"/>
        </w:rPr>
        <w:t xml:space="preserve">à l’information </w:t>
      </w:r>
      <w:r w:rsidRPr="001B6DD5">
        <w:rPr>
          <w:sz w:val="24"/>
          <w:szCs w:val="24"/>
        </w:rPr>
        <w:t>et concerne la communication des organismes publics est considéré potentiellement problématique par la SC et certains interlocuteurs rencontrés (voir l’analyse de l’ONG Article 19</w:t>
      </w:r>
      <w:r w:rsidRPr="004E0C69">
        <w:rPr>
          <w:sz w:val="24"/>
          <w:szCs w:val="24"/>
          <w:vertAlign w:val="superscript"/>
        </w:rPr>
        <w:footnoteReference w:id="48"/>
      </w:r>
      <w:r w:rsidRPr="001B6DD5">
        <w:rPr>
          <w:sz w:val="24"/>
          <w:szCs w:val="24"/>
        </w:rPr>
        <w:t>).</w:t>
      </w:r>
    </w:p>
    <w:p w14:paraId="702A207B" w14:textId="77777777" w:rsidR="00FA1BB6" w:rsidRPr="007920A9" w:rsidRDefault="00FA1BB6" w:rsidP="00026C12">
      <w:pPr>
        <w:pStyle w:val="Default"/>
        <w:jc w:val="both"/>
        <w:rPr>
          <w:rFonts w:asciiTheme="minorHAnsi" w:hAnsiTheme="minorHAnsi"/>
          <w:color w:val="auto"/>
          <w:lang w:val="fr-FR"/>
        </w:rPr>
      </w:pPr>
    </w:p>
    <w:p w14:paraId="1B2D0359" w14:textId="28CE4FB4" w:rsidR="00FA1BB6" w:rsidRPr="007920A9" w:rsidRDefault="00FA1BB6" w:rsidP="00026C12">
      <w:pPr>
        <w:pStyle w:val="Default"/>
        <w:jc w:val="both"/>
        <w:rPr>
          <w:rFonts w:asciiTheme="minorHAnsi" w:hAnsiTheme="minorHAnsi"/>
          <w:b/>
          <w:bCs/>
          <w:color w:val="auto"/>
          <w:lang w:val="fr-FR"/>
        </w:rPr>
      </w:pPr>
      <w:r w:rsidRPr="007920A9">
        <w:rPr>
          <w:rFonts w:asciiTheme="minorHAnsi" w:hAnsiTheme="minorHAnsi"/>
          <w:b/>
          <w:bCs/>
          <w:color w:val="auto"/>
          <w:lang w:val="fr-FR"/>
        </w:rPr>
        <w:t>2.3 Quelles sont les lois touchant à la sécurité des données, leur archivage et la préservation digitale ? (Importance: Élevée).</w:t>
      </w:r>
      <w:r w:rsidR="003A7E2D" w:rsidRPr="007920A9">
        <w:rPr>
          <w:rFonts w:asciiTheme="minorHAnsi" w:hAnsiTheme="minorHAnsi"/>
          <w:b/>
          <w:bCs/>
          <w:color w:val="auto"/>
          <w:lang w:val="fr-FR"/>
        </w:rPr>
        <w:t xml:space="preserve"> </w:t>
      </w:r>
      <w:r w:rsidR="00EC1309" w:rsidRPr="007920A9">
        <w:rPr>
          <w:rFonts w:asciiTheme="minorHAnsi" w:hAnsiTheme="minorHAnsi"/>
          <w:b/>
          <w:bCs/>
          <w:color w:val="auto"/>
          <w:highlight w:val="yellow"/>
          <w:lang w:val="fr-FR"/>
        </w:rPr>
        <w:t>JAUNE</w:t>
      </w:r>
    </w:p>
    <w:p w14:paraId="4B5F5FA8" w14:textId="021FA305" w:rsidR="00585731" w:rsidRPr="001B6DD5" w:rsidRDefault="00585731" w:rsidP="001B6DD5">
      <w:pPr>
        <w:pStyle w:val="Paragraphedeliste"/>
        <w:numPr>
          <w:ilvl w:val="0"/>
          <w:numId w:val="31"/>
        </w:numPr>
        <w:jc w:val="both"/>
        <w:rPr>
          <w:sz w:val="24"/>
          <w:szCs w:val="24"/>
        </w:rPr>
      </w:pPr>
      <w:r w:rsidRPr="001B6DD5">
        <w:rPr>
          <w:sz w:val="24"/>
          <w:szCs w:val="24"/>
        </w:rPr>
        <w:t xml:space="preserve">La </w:t>
      </w:r>
      <w:hyperlink r:id="rId28" w:history="1">
        <w:r w:rsidRPr="001B6DD5">
          <w:rPr>
            <w:rStyle w:val="Lienhypertexte"/>
            <w:sz w:val="24"/>
            <w:szCs w:val="24"/>
          </w:rPr>
          <w:t>Loi n 88-95 du 2 aout 1988 relative aux archives</w:t>
        </w:r>
      </w:hyperlink>
      <w:r w:rsidRPr="007920A9">
        <w:t xml:space="preserve"> </w:t>
      </w:r>
      <w:r w:rsidRPr="001B6DD5">
        <w:rPr>
          <w:sz w:val="24"/>
          <w:szCs w:val="24"/>
        </w:rPr>
        <w:t>décrit l’archivage et la publication des données</w:t>
      </w:r>
    </w:p>
    <w:p w14:paraId="12BD9EDE" w14:textId="66594D66" w:rsidR="00585731" w:rsidRPr="001B6DD5" w:rsidRDefault="00585731" w:rsidP="001B6DD5">
      <w:pPr>
        <w:pStyle w:val="Paragraphedeliste"/>
        <w:numPr>
          <w:ilvl w:val="0"/>
          <w:numId w:val="32"/>
        </w:numPr>
        <w:jc w:val="both"/>
        <w:rPr>
          <w:sz w:val="24"/>
          <w:szCs w:val="24"/>
        </w:rPr>
      </w:pPr>
      <w:r w:rsidRPr="001B6DD5">
        <w:rPr>
          <w:sz w:val="24"/>
          <w:szCs w:val="24"/>
        </w:rPr>
        <w:t>Il n’est pas fait mention d’archivage digitale, de numérisation des archives ou de mise à disposition des archives sous format digitale.</w:t>
      </w:r>
    </w:p>
    <w:p w14:paraId="0AFB294F" w14:textId="6999EBCF" w:rsidR="00DE11B9" w:rsidRPr="001B6DD5" w:rsidRDefault="00DE11B9" w:rsidP="001B6DD5">
      <w:pPr>
        <w:pStyle w:val="Paragraphedeliste"/>
        <w:numPr>
          <w:ilvl w:val="0"/>
          <w:numId w:val="32"/>
        </w:numPr>
        <w:jc w:val="both"/>
        <w:rPr>
          <w:sz w:val="24"/>
          <w:szCs w:val="24"/>
        </w:rPr>
      </w:pPr>
      <w:r w:rsidRPr="001B6DD5">
        <w:rPr>
          <w:sz w:val="24"/>
          <w:szCs w:val="24"/>
        </w:rPr>
        <w:t>Il n’y a pas de directive globale pour la sécurité des données et leur archivage</w:t>
      </w:r>
      <w:r w:rsidR="00B3183A">
        <w:rPr>
          <w:sz w:val="24"/>
          <w:szCs w:val="24"/>
        </w:rPr>
        <w:t>.</w:t>
      </w:r>
      <w:r w:rsidRPr="001B6DD5">
        <w:rPr>
          <w:sz w:val="24"/>
          <w:szCs w:val="24"/>
        </w:rPr>
        <w:t xml:space="preserve"> Chaque service TIC disposant d’un data center implémente sa propre politique</w:t>
      </w:r>
    </w:p>
    <w:p w14:paraId="559263E8" w14:textId="1C73371B" w:rsidR="00DE11B9" w:rsidRPr="001B6DD5" w:rsidRDefault="00DE11B9" w:rsidP="00D5699E">
      <w:pPr>
        <w:pStyle w:val="Paragraphedeliste"/>
        <w:numPr>
          <w:ilvl w:val="0"/>
          <w:numId w:val="56"/>
        </w:numPr>
        <w:jc w:val="both"/>
        <w:rPr>
          <w:sz w:val="24"/>
          <w:szCs w:val="24"/>
        </w:rPr>
      </w:pPr>
      <w:r w:rsidRPr="001B6DD5">
        <w:rPr>
          <w:sz w:val="24"/>
          <w:szCs w:val="24"/>
        </w:rPr>
        <w:t>Concernant la sécurité informatique, l’Agence Nationale de la Sécurité Informatique (ANSI) émet des recommandations pour la protection contre les intrusions</w:t>
      </w:r>
    </w:p>
    <w:p w14:paraId="0B15D03E" w14:textId="1676946C" w:rsidR="00E77574" w:rsidRPr="001B6DD5" w:rsidRDefault="00E77574" w:rsidP="008A2E32">
      <w:pPr>
        <w:pStyle w:val="Paragraphedeliste"/>
        <w:numPr>
          <w:ilvl w:val="0"/>
          <w:numId w:val="82"/>
        </w:numPr>
        <w:spacing w:after="0"/>
        <w:jc w:val="both"/>
        <w:rPr>
          <w:sz w:val="24"/>
          <w:szCs w:val="24"/>
        </w:rPr>
      </w:pPr>
      <w:r w:rsidRPr="001B6DD5">
        <w:rPr>
          <w:sz w:val="24"/>
          <w:szCs w:val="24"/>
        </w:rPr>
        <w:t>La loi sur la sécurité informatique ne mentionne pas de point sur l’archivage et la préservation (sauvegarde) mais uniquement l’obligation d’audit de sécurité.</w:t>
      </w:r>
    </w:p>
    <w:p w14:paraId="54149D98" w14:textId="27CBE468" w:rsidR="00585731" w:rsidRPr="001B6DD5" w:rsidRDefault="00EC1309" w:rsidP="001B6DD5">
      <w:pPr>
        <w:ind w:left="360"/>
        <w:jc w:val="both"/>
        <w:rPr>
          <w:sz w:val="24"/>
          <w:szCs w:val="24"/>
        </w:rPr>
      </w:pPr>
      <w:r w:rsidRPr="001B6DD5">
        <w:rPr>
          <w:sz w:val="24"/>
          <w:szCs w:val="24"/>
        </w:rPr>
        <w:t>+</w:t>
      </w:r>
      <w:r w:rsidRPr="001B6DD5">
        <w:rPr>
          <w:sz w:val="24"/>
          <w:szCs w:val="24"/>
        </w:rPr>
        <w:tab/>
        <w:t>L’engagement 14 du deuxième plan d’action du PGO concerne la publication digitale des archives</w:t>
      </w:r>
      <w:r w:rsidR="00DE11B9" w:rsidRPr="001B6DD5">
        <w:rPr>
          <w:sz w:val="24"/>
          <w:szCs w:val="24"/>
        </w:rPr>
        <w:t xml:space="preserve"> et ce chantier est prioritaire pour les Archives Nationales</w:t>
      </w:r>
      <w:r w:rsidR="00274F81" w:rsidRPr="001B6DD5">
        <w:rPr>
          <w:sz w:val="24"/>
          <w:szCs w:val="24"/>
        </w:rPr>
        <w:t xml:space="preserve"> (AN)</w:t>
      </w:r>
    </w:p>
    <w:p w14:paraId="0D858C67" w14:textId="4E8EB902" w:rsidR="008B3687" w:rsidRPr="007920A9" w:rsidRDefault="008B3687" w:rsidP="00585731">
      <w:pPr>
        <w:pStyle w:val="Default"/>
        <w:jc w:val="both"/>
        <w:rPr>
          <w:rFonts w:asciiTheme="minorHAnsi" w:hAnsiTheme="minorHAnsi"/>
          <w:color w:val="auto"/>
          <w:lang w:val="fr-FR"/>
        </w:rPr>
      </w:pPr>
    </w:p>
    <w:p w14:paraId="57680915" w14:textId="08E0473D" w:rsidR="00FA1BB6" w:rsidRPr="007920A9" w:rsidRDefault="00FA1BB6" w:rsidP="00026C12">
      <w:pPr>
        <w:pStyle w:val="Default"/>
        <w:jc w:val="both"/>
        <w:rPr>
          <w:rFonts w:asciiTheme="minorHAnsi" w:hAnsiTheme="minorHAnsi"/>
          <w:b/>
          <w:bCs/>
          <w:color w:val="auto"/>
          <w:lang w:val="fr-FR"/>
        </w:rPr>
      </w:pPr>
      <w:r w:rsidRPr="007920A9">
        <w:rPr>
          <w:rFonts w:asciiTheme="minorHAnsi" w:hAnsiTheme="minorHAnsi"/>
          <w:b/>
          <w:bCs/>
          <w:color w:val="auto"/>
          <w:lang w:val="fr-FR"/>
        </w:rPr>
        <w:t xml:space="preserve">2.4 Quelles sont les règlements sur la </w:t>
      </w:r>
      <w:r w:rsidR="00C261A9" w:rsidRPr="007920A9">
        <w:rPr>
          <w:rFonts w:asciiTheme="minorHAnsi" w:hAnsiTheme="minorHAnsi"/>
          <w:b/>
          <w:bCs/>
          <w:color w:val="auto"/>
          <w:lang w:val="fr-FR"/>
        </w:rPr>
        <w:t>propriété</w:t>
      </w:r>
      <w:r w:rsidRPr="007920A9">
        <w:rPr>
          <w:rFonts w:asciiTheme="minorHAnsi" w:hAnsiTheme="minorHAnsi"/>
          <w:b/>
          <w:bCs/>
          <w:color w:val="auto"/>
          <w:lang w:val="fr-FR"/>
        </w:rPr>
        <w:t xml:space="preserve"> et les licences attachées aux données gouvernementales (Importance: Très Élevée).</w:t>
      </w:r>
      <w:r w:rsidR="003A7E2D" w:rsidRPr="007920A9">
        <w:rPr>
          <w:rFonts w:asciiTheme="minorHAnsi" w:hAnsiTheme="minorHAnsi"/>
          <w:b/>
          <w:bCs/>
          <w:color w:val="auto"/>
          <w:lang w:val="fr-FR"/>
        </w:rPr>
        <w:t xml:space="preserve"> </w:t>
      </w:r>
      <w:r w:rsidR="00EC1309" w:rsidRPr="007920A9">
        <w:rPr>
          <w:rFonts w:asciiTheme="minorHAnsi" w:hAnsiTheme="minorHAnsi"/>
          <w:b/>
          <w:bCs/>
          <w:color w:val="auto"/>
          <w:highlight w:val="yellow"/>
          <w:lang w:val="fr-FR"/>
        </w:rPr>
        <w:t>JAUNE</w:t>
      </w:r>
    </w:p>
    <w:p w14:paraId="7E927EC4" w14:textId="12C11737" w:rsidR="00EC1309" w:rsidRPr="007920A9" w:rsidRDefault="00EC1309" w:rsidP="001C539E">
      <w:pPr>
        <w:pStyle w:val="Paragraphedeliste"/>
        <w:numPr>
          <w:ilvl w:val="0"/>
          <w:numId w:val="31"/>
        </w:numPr>
        <w:jc w:val="both"/>
        <w:rPr>
          <w:sz w:val="24"/>
          <w:szCs w:val="24"/>
        </w:rPr>
      </w:pPr>
      <w:r w:rsidRPr="007920A9">
        <w:rPr>
          <w:sz w:val="24"/>
          <w:szCs w:val="24"/>
        </w:rPr>
        <w:t>La quasi-totalité des données publiées actuellement sur les différents portails du gouvernement possède une licence ouverte de réutilisation</w:t>
      </w:r>
    </w:p>
    <w:p w14:paraId="286FE0E7" w14:textId="072E16C0" w:rsidR="00EC1309" w:rsidRPr="007920A9" w:rsidRDefault="00125D49" w:rsidP="001C539E">
      <w:pPr>
        <w:pStyle w:val="Paragraphedeliste"/>
        <w:numPr>
          <w:ilvl w:val="0"/>
          <w:numId w:val="32"/>
        </w:numPr>
        <w:jc w:val="both"/>
        <w:rPr>
          <w:sz w:val="24"/>
          <w:szCs w:val="24"/>
        </w:rPr>
      </w:pPr>
      <w:r w:rsidRPr="007920A9">
        <w:rPr>
          <w:sz w:val="24"/>
          <w:szCs w:val="24"/>
        </w:rPr>
        <w:t>Certains jeux</w:t>
      </w:r>
      <w:r w:rsidR="00EC1309" w:rsidRPr="007920A9">
        <w:rPr>
          <w:sz w:val="24"/>
          <w:szCs w:val="24"/>
        </w:rPr>
        <w:t xml:space="preserve"> de données n’ont pas de licence</w:t>
      </w:r>
    </w:p>
    <w:p w14:paraId="6B4562F1" w14:textId="3B2E2C70" w:rsidR="00EC1309" w:rsidRPr="007920A9" w:rsidRDefault="00EC1309" w:rsidP="001C539E">
      <w:pPr>
        <w:pStyle w:val="Paragraphedeliste"/>
        <w:numPr>
          <w:ilvl w:val="0"/>
          <w:numId w:val="32"/>
        </w:numPr>
        <w:jc w:val="both"/>
        <w:rPr>
          <w:sz w:val="24"/>
          <w:szCs w:val="24"/>
        </w:rPr>
      </w:pPr>
      <w:r w:rsidRPr="007920A9">
        <w:rPr>
          <w:sz w:val="24"/>
          <w:szCs w:val="24"/>
        </w:rPr>
        <w:t xml:space="preserve">Il n’y a pas de législation sur les licences de données </w:t>
      </w:r>
    </w:p>
    <w:p w14:paraId="1DB4451A" w14:textId="00D708ED" w:rsidR="00EC1309" w:rsidRDefault="00EC1309" w:rsidP="001C539E">
      <w:pPr>
        <w:pStyle w:val="Paragraphedeliste"/>
        <w:numPr>
          <w:ilvl w:val="0"/>
          <w:numId w:val="32"/>
        </w:numPr>
        <w:jc w:val="both"/>
        <w:rPr>
          <w:sz w:val="24"/>
          <w:szCs w:val="24"/>
        </w:rPr>
      </w:pPr>
      <w:r w:rsidRPr="007920A9">
        <w:rPr>
          <w:sz w:val="24"/>
          <w:szCs w:val="24"/>
        </w:rPr>
        <w:t xml:space="preserve">Il y a une grande hétérogénéité de licences entre les portails des différents ministères, certain ne permettant pas la réutilisation commerciale des données </w:t>
      </w:r>
    </w:p>
    <w:p w14:paraId="547E2B30" w14:textId="1B6569FC" w:rsidR="00DE11B9" w:rsidRDefault="00DE11B9" w:rsidP="001C539E">
      <w:pPr>
        <w:pStyle w:val="Paragraphedeliste"/>
        <w:numPr>
          <w:ilvl w:val="0"/>
          <w:numId w:val="32"/>
        </w:numPr>
        <w:jc w:val="both"/>
        <w:rPr>
          <w:sz w:val="24"/>
          <w:szCs w:val="24"/>
        </w:rPr>
      </w:pPr>
      <w:r>
        <w:rPr>
          <w:sz w:val="24"/>
          <w:szCs w:val="24"/>
        </w:rPr>
        <w:t xml:space="preserve">La </w:t>
      </w:r>
      <w:hyperlink r:id="rId29" w:history="1">
        <w:r w:rsidR="008A2E32">
          <w:rPr>
            <w:rStyle w:val="Lienhypertexte"/>
            <w:sz w:val="24"/>
            <w:szCs w:val="24"/>
          </w:rPr>
          <w:t>l</w:t>
        </w:r>
        <w:r w:rsidR="008A2E32" w:rsidRPr="001B6DD5">
          <w:rPr>
            <w:rStyle w:val="Lienhypertexte"/>
            <w:sz w:val="24"/>
            <w:szCs w:val="24"/>
          </w:rPr>
          <w:t>oi organique n° 2016-22 du 24 mars 2016, relative au droit d’accès à l’information</w:t>
        </w:r>
      </w:hyperlink>
      <w:r>
        <w:rPr>
          <w:sz w:val="24"/>
          <w:szCs w:val="24"/>
        </w:rPr>
        <w:t xml:space="preserve"> n’a aucune section sur la réutilisation de l’information. Cette section existait dans le projet de loi mais a été enlevé</w:t>
      </w:r>
      <w:r w:rsidR="008A2E32">
        <w:rPr>
          <w:sz w:val="24"/>
          <w:szCs w:val="24"/>
        </w:rPr>
        <w:t>e</w:t>
      </w:r>
      <w:r>
        <w:rPr>
          <w:sz w:val="24"/>
          <w:szCs w:val="24"/>
        </w:rPr>
        <w:t xml:space="preserve"> durant les discussions parlementaires</w:t>
      </w:r>
    </w:p>
    <w:p w14:paraId="50796DF0" w14:textId="28866BC5" w:rsidR="00D51AA7" w:rsidRDefault="00D51AA7" w:rsidP="001C539E">
      <w:pPr>
        <w:pStyle w:val="Paragraphedeliste"/>
        <w:numPr>
          <w:ilvl w:val="0"/>
          <w:numId w:val="32"/>
        </w:numPr>
        <w:jc w:val="both"/>
        <w:rPr>
          <w:sz w:val="24"/>
          <w:szCs w:val="24"/>
        </w:rPr>
      </w:pPr>
      <w:r>
        <w:rPr>
          <w:sz w:val="24"/>
          <w:szCs w:val="24"/>
        </w:rPr>
        <w:t xml:space="preserve">Les interlocuteurs rencontrés ne sont pas sensibilisés </w:t>
      </w:r>
      <w:r w:rsidR="00C96685">
        <w:rPr>
          <w:sz w:val="24"/>
          <w:szCs w:val="24"/>
        </w:rPr>
        <w:t>à la problématique des licences et beaucoup des interlocuteurs rencontrés associe</w:t>
      </w:r>
      <w:r w:rsidR="007F7913">
        <w:rPr>
          <w:sz w:val="24"/>
          <w:szCs w:val="24"/>
        </w:rPr>
        <w:t>nt</w:t>
      </w:r>
      <w:r w:rsidR="00C96685">
        <w:rPr>
          <w:sz w:val="24"/>
          <w:szCs w:val="24"/>
        </w:rPr>
        <w:t xml:space="preserve"> absence de licence et licence du type CC-0</w:t>
      </w:r>
      <w:r w:rsidR="00C96685">
        <w:rPr>
          <w:rStyle w:val="Appelnotedebasdep"/>
          <w:sz w:val="24"/>
          <w:szCs w:val="24"/>
        </w:rPr>
        <w:footnoteReference w:id="49"/>
      </w:r>
      <w:r w:rsidR="008A2E32">
        <w:rPr>
          <w:sz w:val="24"/>
          <w:szCs w:val="24"/>
        </w:rPr>
        <w:t xml:space="preserve"> où</w:t>
      </w:r>
      <w:r w:rsidR="00C96685">
        <w:rPr>
          <w:sz w:val="24"/>
          <w:szCs w:val="24"/>
        </w:rPr>
        <w:t xml:space="preserve"> tous les droits sont ouverts</w:t>
      </w:r>
    </w:p>
    <w:p w14:paraId="79683FDC" w14:textId="1B89D4F7" w:rsidR="00C96685" w:rsidRDefault="00C96685" w:rsidP="00D5699E">
      <w:pPr>
        <w:pStyle w:val="Paragraphedeliste"/>
        <w:numPr>
          <w:ilvl w:val="0"/>
          <w:numId w:val="57"/>
        </w:numPr>
        <w:jc w:val="both"/>
        <w:rPr>
          <w:sz w:val="24"/>
          <w:szCs w:val="24"/>
        </w:rPr>
      </w:pPr>
      <w:r>
        <w:rPr>
          <w:sz w:val="24"/>
          <w:szCs w:val="24"/>
        </w:rPr>
        <w:t xml:space="preserve">Les interlocuteurs rencontrés sont tout à fait </w:t>
      </w:r>
      <w:r w:rsidR="006B5D45">
        <w:rPr>
          <w:sz w:val="24"/>
          <w:szCs w:val="24"/>
        </w:rPr>
        <w:t>ouverts</w:t>
      </w:r>
      <w:r>
        <w:rPr>
          <w:sz w:val="24"/>
          <w:szCs w:val="24"/>
        </w:rPr>
        <w:t xml:space="preserve"> à l’adoption d‘une licence ouverte pour la publication de leurs données, suivant des recommandations nationales qui seraient émises</w:t>
      </w:r>
    </w:p>
    <w:p w14:paraId="4042AF97" w14:textId="70BC0DBF" w:rsidR="00DE11B9" w:rsidRPr="007920A9" w:rsidRDefault="00DE11B9" w:rsidP="00D5699E">
      <w:pPr>
        <w:pStyle w:val="Paragraphedeliste"/>
        <w:numPr>
          <w:ilvl w:val="0"/>
          <w:numId w:val="57"/>
        </w:numPr>
        <w:jc w:val="both"/>
        <w:rPr>
          <w:sz w:val="24"/>
          <w:szCs w:val="24"/>
        </w:rPr>
      </w:pPr>
      <w:r>
        <w:rPr>
          <w:sz w:val="24"/>
          <w:szCs w:val="24"/>
        </w:rPr>
        <w:t>La Banque Mondiale appuie actuellement la DGRPA pour établir une législation dédiée à la réutilisation de l’information</w:t>
      </w:r>
    </w:p>
    <w:p w14:paraId="0014119F" w14:textId="1D952337" w:rsidR="00FA1BB6" w:rsidRPr="007920A9" w:rsidRDefault="00FA1BB6" w:rsidP="00026C12">
      <w:pPr>
        <w:autoSpaceDE w:val="0"/>
        <w:autoSpaceDN w:val="0"/>
        <w:adjustRightInd w:val="0"/>
        <w:spacing w:after="173" w:line="240" w:lineRule="auto"/>
        <w:jc w:val="both"/>
        <w:rPr>
          <w:b/>
          <w:bCs/>
          <w:sz w:val="24"/>
          <w:szCs w:val="24"/>
        </w:rPr>
      </w:pPr>
      <w:r w:rsidRPr="007920A9">
        <w:rPr>
          <w:rFonts w:cs="Times New Roman"/>
          <w:b/>
          <w:sz w:val="24"/>
          <w:szCs w:val="24"/>
        </w:rPr>
        <w:t xml:space="preserve">2.5 </w:t>
      </w:r>
      <w:r w:rsidR="004C2C41" w:rsidRPr="007920A9">
        <w:rPr>
          <w:rFonts w:cs="Times New Roman"/>
          <w:b/>
          <w:sz w:val="24"/>
          <w:szCs w:val="24"/>
        </w:rPr>
        <w:t xml:space="preserve">Dans quelles mesures certaines </w:t>
      </w:r>
      <w:r w:rsidR="00C261A9" w:rsidRPr="007920A9">
        <w:rPr>
          <w:rFonts w:cs="Times New Roman"/>
          <w:b/>
          <w:sz w:val="24"/>
          <w:szCs w:val="24"/>
        </w:rPr>
        <w:t>agences</w:t>
      </w:r>
      <w:r w:rsidR="004C2C41" w:rsidRPr="007920A9">
        <w:rPr>
          <w:rFonts w:cs="Times New Roman"/>
          <w:b/>
          <w:sz w:val="24"/>
          <w:szCs w:val="24"/>
        </w:rPr>
        <w:t xml:space="preserve"> vendent des données qu’elles possèdent? </w:t>
      </w:r>
      <w:r w:rsidR="004C2C41" w:rsidRPr="007920A9">
        <w:rPr>
          <w:b/>
          <w:bCs/>
          <w:sz w:val="24"/>
          <w:szCs w:val="24"/>
        </w:rPr>
        <w:t>(Importance: Élevée)</w:t>
      </w:r>
      <w:r w:rsidR="003A7E2D" w:rsidRPr="007920A9">
        <w:rPr>
          <w:b/>
          <w:bCs/>
          <w:sz w:val="24"/>
          <w:szCs w:val="24"/>
        </w:rPr>
        <w:t xml:space="preserve"> </w:t>
      </w:r>
      <w:r w:rsidR="00275865" w:rsidRPr="00275865">
        <w:rPr>
          <w:b/>
          <w:bCs/>
          <w:sz w:val="24"/>
          <w:szCs w:val="24"/>
          <w:highlight w:val="green"/>
        </w:rPr>
        <w:t xml:space="preserve"> </w:t>
      </w:r>
      <w:r w:rsidR="00275865" w:rsidRPr="00271D4E">
        <w:rPr>
          <w:b/>
          <w:bCs/>
          <w:sz w:val="24"/>
          <w:szCs w:val="24"/>
          <w:highlight w:val="green"/>
        </w:rPr>
        <w:t>VERT</w:t>
      </w:r>
    </w:p>
    <w:p w14:paraId="072C32B7" w14:textId="5ADFDC02" w:rsidR="00EC1309" w:rsidRDefault="003A7E2D" w:rsidP="008F3747">
      <w:pPr>
        <w:pStyle w:val="Paragraphedeliste"/>
        <w:numPr>
          <w:ilvl w:val="0"/>
          <w:numId w:val="8"/>
        </w:numPr>
        <w:autoSpaceDE w:val="0"/>
        <w:autoSpaceDN w:val="0"/>
        <w:adjustRightInd w:val="0"/>
        <w:spacing w:after="173" w:line="240" w:lineRule="auto"/>
        <w:jc w:val="both"/>
        <w:rPr>
          <w:sz w:val="24"/>
          <w:szCs w:val="24"/>
        </w:rPr>
      </w:pPr>
      <w:r w:rsidRPr="007920A9">
        <w:rPr>
          <w:bCs/>
          <w:sz w:val="24"/>
          <w:szCs w:val="24"/>
        </w:rPr>
        <w:t>Il n’a pas été identifié d’agence vendant des données</w:t>
      </w:r>
      <w:r w:rsidR="00AA19FE">
        <w:rPr>
          <w:bCs/>
          <w:sz w:val="24"/>
          <w:szCs w:val="24"/>
        </w:rPr>
        <w:t xml:space="preserve"> à une exception près</w:t>
      </w:r>
      <w:r w:rsidR="00271D4E">
        <w:rPr>
          <w:bCs/>
          <w:sz w:val="24"/>
          <w:szCs w:val="24"/>
        </w:rPr>
        <w:t xml:space="preserve"> (registre du commerce et des sociétés)</w:t>
      </w:r>
      <w:r w:rsidRPr="007920A9">
        <w:rPr>
          <w:bCs/>
          <w:sz w:val="24"/>
          <w:szCs w:val="24"/>
        </w:rPr>
        <w:t xml:space="preserve">. </w:t>
      </w:r>
    </w:p>
    <w:p w14:paraId="12B813D8" w14:textId="77777777" w:rsidR="00271D4E" w:rsidRDefault="00AA19FE" w:rsidP="00D5699E">
      <w:pPr>
        <w:pStyle w:val="Paragraphedeliste"/>
        <w:numPr>
          <w:ilvl w:val="0"/>
          <w:numId w:val="53"/>
        </w:numPr>
        <w:autoSpaceDE w:val="0"/>
        <w:autoSpaceDN w:val="0"/>
        <w:adjustRightInd w:val="0"/>
        <w:spacing w:after="0" w:line="240" w:lineRule="auto"/>
        <w:jc w:val="both"/>
        <w:rPr>
          <w:bCs/>
          <w:sz w:val="24"/>
        </w:rPr>
      </w:pPr>
      <w:r>
        <w:rPr>
          <w:bCs/>
          <w:sz w:val="24"/>
        </w:rPr>
        <w:t>Les informations du registre du commerce</w:t>
      </w:r>
      <w:r>
        <w:rPr>
          <w:rStyle w:val="Appelnotedebasdep"/>
          <w:bCs/>
          <w:sz w:val="24"/>
        </w:rPr>
        <w:footnoteReference w:id="50"/>
      </w:r>
      <w:r>
        <w:rPr>
          <w:bCs/>
          <w:sz w:val="24"/>
        </w:rPr>
        <w:t xml:space="preserve"> sont payantes</w:t>
      </w:r>
    </w:p>
    <w:p w14:paraId="3D81DE25" w14:textId="5C69F909" w:rsidR="00AA19FE" w:rsidRPr="00AA19FE" w:rsidRDefault="00271D4E" w:rsidP="00D5699E">
      <w:pPr>
        <w:pStyle w:val="Paragraphedeliste"/>
        <w:numPr>
          <w:ilvl w:val="0"/>
          <w:numId w:val="53"/>
        </w:numPr>
        <w:autoSpaceDE w:val="0"/>
        <w:autoSpaceDN w:val="0"/>
        <w:adjustRightInd w:val="0"/>
        <w:spacing w:after="0" w:line="240" w:lineRule="auto"/>
        <w:jc w:val="both"/>
        <w:rPr>
          <w:bCs/>
          <w:sz w:val="24"/>
        </w:rPr>
      </w:pPr>
      <w:r>
        <w:rPr>
          <w:bCs/>
          <w:sz w:val="24"/>
        </w:rPr>
        <w:t>Des cas de ventes de données à l’intérieur du gouvernement ont été signalés à plusieurs reprises : la Centre Nationale de l’Informatique (CNI), en charge des systèmes d’informations nationaux, vend certaines données de ces SI à des agences comme l’INS.</w:t>
      </w:r>
      <w:r w:rsidR="00AA19FE">
        <w:rPr>
          <w:bCs/>
          <w:sz w:val="24"/>
        </w:rPr>
        <w:t xml:space="preserve"> </w:t>
      </w:r>
    </w:p>
    <w:p w14:paraId="6F7A75F1" w14:textId="6CFAA2D5" w:rsidR="008B3687" w:rsidRPr="00432402" w:rsidRDefault="00EC1309" w:rsidP="00D5699E">
      <w:pPr>
        <w:pStyle w:val="Paragraphedeliste"/>
        <w:numPr>
          <w:ilvl w:val="0"/>
          <w:numId w:val="59"/>
        </w:numPr>
        <w:autoSpaceDE w:val="0"/>
        <w:autoSpaceDN w:val="0"/>
        <w:adjustRightInd w:val="0"/>
        <w:spacing w:after="173" w:line="240" w:lineRule="auto"/>
        <w:jc w:val="both"/>
        <w:rPr>
          <w:sz w:val="24"/>
          <w:szCs w:val="24"/>
        </w:rPr>
      </w:pPr>
      <w:r w:rsidRPr="00B3183A">
        <w:rPr>
          <w:bCs/>
          <w:sz w:val="24"/>
          <w:szCs w:val="24"/>
        </w:rPr>
        <w:t>L</w:t>
      </w:r>
      <w:r w:rsidR="008B3687" w:rsidRPr="00B3183A">
        <w:rPr>
          <w:bCs/>
          <w:sz w:val="24"/>
          <w:szCs w:val="24"/>
        </w:rPr>
        <w:t>a l</w:t>
      </w:r>
      <w:r w:rsidR="008B3687" w:rsidRPr="00B3183A">
        <w:rPr>
          <w:sz w:val="24"/>
          <w:szCs w:val="24"/>
        </w:rPr>
        <w:t>oi relative à la statistique publique prévoit</w:t>
      </w:r>
      <w:r w:rsidRPr="00B3183A">
        <w:rPr>
          <w:sz w:val="24"/>
          <w:szCs w:val="24"/>
        </w:rPr>
        <w:t xml:space="preserve"> la rémunération possible de l’I</w:t>
      </w:r>
      <w:r w:rsidR="008B3687" w:rsidRPr="00B3183A">
        <w:rPr>
          <w:sz w:val="24"/>
          <w:szCs w:val="24"/>
        </w:rPr>
        <w:t>NS pour la fourniture de document et information</w:t>
      </w:r>
      <w:r w:rsidR="003A7E2D" w:rsidRPr="008B06B9">
        <w:rPr>
          <w:sz w:val="24"/>
          <w:szCs w:val="24"/>
        </w:rPr>
        <w:t xml:space="preserve"> mais aucun exemple de l’implémentation de cet article n’a pu être identifié </w:t>
      </w:r>
      <w:r w:rsidR="00271D4E" w:rsidRPr="004D656D">
        <w:rPr>
          <w:sz w:val="24"/>
          <w:szCs w:val="24"/>
        </w:rPr>
        <w:t xml:space="preserve">et </w:t>
      </w:r>
      <w:r w:rsidR="00271D4E" w:rsidRPr="00432402">
        <w:rPr>
          <w:sz w:val="24"/>
          <w:szCs w:val="24"/>
        </w:rPr>
        <w:t>l’INS a confirmé fournir toutes ses données gratuitement</w:t>
      </w:r>
    </w:p>
    <w:p w14:paraId="480BA41C" w14:textId="0358E0D8" w:rsidR="004C2C41" w:rsidRPr="007920A9" w:rsidRDefault="00FA1BB6" w:rsidP="00026C12">
      <w:pPr>
        <w:autoSpaceDE w:val="0"/>
        <w:autoSpaceDN w:val="0"/>
        <w:adjustRightInd w:val="0"/>
        <w:spacing w:after="0" w:line="240" w:lineRule="auto"/>
        <w:jc w:val="both"/>
        <w:rPr>
          <w:b/>
          <w:bCs/>
          <w:sz w:val="24"/>
          <w:szCs w:val="24"/>
        </w:rPr>
      </w:pPr>
      <w:r w:rsidRPr="007920A9">
        <w:rPr>
          <w:rFonts w:cs="Times New Roman"/>
          <w:b/>
          <w:sz w:val="24"/>
          <w:szCs w:val="24"/>
        </w:rPr>
        <w:t xml:space="preserve">2.6 </w:t>
      </w:r>
      <w:r w:rsidR="004C2C41" w:rsidRPr="007920A9">
        <w:rPr>
          <w:rFonts w:cs="Times New Roman"/>
          <w:b/>
          <w:sz w:val="24"/>
          <w:szCs w:val="24"/>
        </w:rPr>
        <w:t>Quelles autres lois ou réglementations peuvent avoir un impact important sur l’ouverture des données?</w:t>
      </w:r>
      <w:r w:rsidR="004C2C41" w:rsidRPr="007920A9">
        <w:rPr>
          <w:b/>
          <w:bCs/>
          <w:sz w:val="24"/>
          <w:szCs w:val="24"/>
        </w:rPr>
        <w:t xml:space="preserve"> (Importance: Élevée)</w:t>
      </w:r>
      <w:r w:rsidR="003A7E2D" w:rsidRPr="007920A9">
        <w:rPr>
          <w:b/>
          <w:bCs/>
          <w:sz w:val="24"/>
          <w:szCs w:val="24"/>
        </w:rPr>
        <w:t xml:space="preserve"> </w:t>
      </w:r>
      <w:r w:rsidR="00271D4E" w:rsidRPr="00271D4E">
        <w:rPr>
          <w:b/>
          <w:bCs/>
          <w:sz w:val="24"/>
          <w:szCs w:val="24"/>
          <w:highlight w:val="green"/>
        </w:rPr>
        <w:t>VERT</w:t>
      </w:r>
    </w:p>
    <w:p w14:paraId="01A3AAA8" w14:textId="05064957" w:rsidR="003A7E2D" w:rsidRPr="00271D4E" w:rsidRDefault="003A7E2D" w:rsidP="00E87373">
      <w:pPr>
        <w:pStyle w:val="Paragraphedeliste"/>
        <w:numPr>
          <w:ilvl w:val="0"/>
          <w:numId w:val="8"/>
        </w:numPr>
        <w:autoSpaceDE w:val="0"/>
        <w:autoSpaceDN w:val="0"/>
        <w:adjustRightInd w:val="0"/>
        <w:spacing w:after="0" w:line="240" w:lineRule="auto"/>
        <w:jc w:val="both"/>
        <w:rPr>
          <w:bCs/>
          <w:sz w:val="24"/>
          <w:szCs w:val="24"/>
        </w:rPr>
      </w:pPr>
      <w:r w:rsidRPr="007920A9">
        <w:rPr>
          <w:bCs/>
          <w:sz w:val="24"/>
          <w:szCs w:val="24"/>
        </w:rPr>
        <w:t xml:space="preserve">Il n’a pas été </w:t>
      </w:r>
      <w:r w:rsidR="00201E72" w:rsidRPr="007920A9">
        <w:rPr>
          <w:bCs/>
          <w:sz w:val="24"/>
          <w:szCs w:val="24"/>
        </w:rPr>
        <w:t>identifié</w:t>
      </w:r>
      <w:r w:rsidRPr="007920A9">
        <w:rPr>
          <w:bCs/>
          <w:sz w:val="24"/>
          <w:szCs w:val="24"/>
        </w:rPr>
        <w:t xml:space="preserve"> de </w:t>
      </w:r>
      <w:r w:rsidRPr="007920A9">
        <w:rPr>
          <w:sz w:val="24"/>
          <w:szCs w:val="24"/>
        </w:rPr>
        <w:t>loi limitant l’accès à l’information publique (par exemple loi sur le secret-défense, loi sur le secret des affaires, etc.) </w:t>
      </w:r>
    </w:p>
    <w:p w14:paraId="5D383C29" w14:textId="3430451D" w:rsidR="00271D4E" w:rsidRPr="007920A9" w:rsidRDefault="00271D4E" w:rsidP="00D5699E">
      <w:pPr>
        <w:pStyle w:val="Paragraphedeliste"/>
        <w:numPr>
          <w:ilvl w:val="0"/>
          <w:numId w:val="58"/>
        </w:numPr>
        <w:autoSpaceDE w:val="0"/>
        <w:autoSpaceDN w:val="0"/>
        <w:adjustRightInd w:val="0"/>
        <w:spacing w:after="0" w:line="240" w:lineRule="auto"/>
        <w:jc w:val="both"/>
        <w:rPr>
          <w:bCs/>
          <w:sz w:val="24"/>
          <w:szCs w:val="24"/>
        </w:rPr>
      </w:pPr>
      <w:r>
        <w:rPr>
          <w:bCs/>
          <w:sz w:val="24"/>
          <w:szCs w:val="24"/>
        </w:rPr>
        <w:t>Une législation spécifique pour la classification des données informatiques, portée par l’ANSI mais qui inclue également la DGRPA est en cours de développement et sera proposé à l’ARP au début de 2018. Toutefois si le projet de loi existe, il n’est pas publiquement accessible et ne peux pas être évalué pour savoir s’il sera une aide pour la classification des données et leur publication, ou un obstacle à cette publication.</w:t>
      </w:r>
    </w:p>
    <w:p w14:paraId="2447B03E" w14:textId="11D283AC" w:rsidR="00662A1F" w:rsidRPr="001B6DD5" w:rsidRDefault="003A7E2D" w:rsidP="001B6DD5">
      <w:pPr>
        <w:pStyle w:val="Paragraphedeliste"/>
        <w:numPr>
          <w:ilvl w:val="0"/>
          <w:numId w:val="31"/>
        </w:numPr>
        <w:jc w:val="both"/>
        <w:rPr>
          <w:rStyle w:val="Lienhypertexte"/>
          <w:sz w:val="24"/>
          <w:szCs w:val="24"/>
        </w:rPr>
      </w:pPr>
      <w:r w:rsidRPr="00B3183A">
        <w:rPr>
          <w:sz w:val="24"/>
          <w:szCs w:val="24"/>
        </w:rPr>
        <w:t xml:space="preserve">La liberté de la presse </w:t>
      </w:r>
      <w:r w:rsidR="00EC1309" w:rsidRPr="00B3183A">
        <w:rPr>
          <w:sz w:val="24"/>
          <w:szCs w:val="24"/>
        </w:rPr>
        <w:t>est un élément clé de la République Tunisienne depuis la révolution de 2011</w:t>
      </w:r>
      <w:r w:rsidRPr="00B3183A">
        <w:rPr>
          <w:sz w:val="24"/>
          <w:szCs w:val="24"/>
        </w:rPr>
        <w:t xml:space="preserve">. </w:t>
      </w:r>
      <w:r w:rsidR="003B0DF1" w:rsidRPr="00082F98">
        <w:rPr>
          <w:sz w:val="24"/>
          <w:szCs w:val="24"/>
        </w:rPr>
        <w:t>Ce droit ainsi que la création d’une instance indépendant (</w:t>
      </w:r>
      <w:r w:rsidR="00662A1F" w:rsidRPr="001B6DD5">
        <w:rPr>
          <w:rStyle w:val="Lienhypertexte"/>
          <w:color w:val="auto"/>
          <w:sz w:val="24"/>
          <w:szCs w:val="24"/>
          <w:u w:val="none"/>
        </w:rPr>
        <w:t>Haute Autorité Indépendante de la Communication Audiovisuelle</w:t>
      </w:r>
      <w:r w:rsidR="003B0DF1" w:rsidRPr="00B3183A">
        <w:rPr>
          <w:sz w:val="24"/>
          <w:szCs w:val="24"/>
        </w:rPr>
        <w:t xml:space="preserve">) est inscrit dans les </w:t>
      </w:r>
      <w:hyperlink r:id="rId30" w:history="1">
        <w:r w:rsidR="003B0DF1" w:rsidRPr="001B6DD5">
          <w:rPr>
            <w:rStyle w:val="Lienhypertexte"/>
            <w:sz w:val="24"/>
            <w:szCs w:val="24"/>
          </w:rPr>
          <w:t>Décret-loi n° 2011-115 du 2 novembre 2011, relatif à la liberté de la presse, de l’imprimerie et de l’édition</w:t>
        </w:r>
      </w:hyperlink>
      <w:r w:rsidR="003B0DF1" w:rsidRPr="001B6DD5">
        <w:rPr>
          <w:rStyle w:val="Lienhypertexte"/>
          <w:sz w:val="24"/>
          <w:szCs w:val="24"/>
        </w:rPr>
        <w:t xml:space="preserve"> </w:t>
      </w:r>
      <w:r w:rsidR="00662A1F" w:rsidRPr="001B6DD5">
        <w:rPr>
          <w:rStyle w:val="Lienhypertexte"/>
          <w:color w:val="auto"/>
          <w:sz w:val="24"/>
          <w:szCs w:val="24"/>
          <w:u w:val="none"/>
        </w:rPr>
        <w:t>et le</w:t>
      </w:r>
      <w:r w:rsidR="00662A1F" w:rsidRPr="001B6DD5">
        <w:rPr>
          <w:rStyle w:val="Lienhypertexte"/>
          <w:sz w:val="24"/>
          <w:szCs w:val="24"/>
        </w:rPr>
        <w:t xml:space="preserve"> Décret-loi n° 2011-116 du 2 novembre 2011, relatif à la liberté de la communication audiovisuelle et portant création d’une Haute Autorité Indépendante de la Communication Audiovisuelle (HAICA)</w:t>
      </w:r>
    </w:p>
    <w:p w14:paraId="1D518C14" w14:textId="16305E71" w:rsidR="003A7E2D" w:rsidRPr="00140738" w:rsidRDefault="00271D4E" w:rsidP="001B6DD5">
      <w:pPr>
        <w:pStyle w:val="Paragraphedeliste"/>
        <w:numPr>
          <w:ilvl w:val="0"/>
          <w:numId w:val="31"/>
        </w:numPr>
        <w:jc w:val="both"/>
        <w:rPr>
          <w:color w:val="0000FF" w:themeColor="hyperlink"/>
          <w:u w:val="single"/>
        </w:rPr>
      </w:pPr>
      <w:r w:rsidRPr="00271D4E">
        <w:rPr>
          <w:sz w:val="24"/>
          <w:szCs w:val="24"/>
        </w:rPr>
        <w:t>La loi organique n° 2017-10 du 7 mars 2017, relative à la dénonciation de la corruption et la protection des dénonciateurs</w:t>
      </w:r>
      <w:r>
        <w:rPr>
          <w:bCs/>
          <w:sz w:val="24"/>
          <w:szCs w:val="24"/>
        </w:rPr>
        <w:t xml:space="preserve"> protège les lanceurs d’alerte</w:t>
      </w:r>
    </w:p>
    <w:p w14:paraId="58A3D45D" w14:textId="38835CCA" w:rsidR="00140738" w:rsidRPr="00BF175E" w:rsidRDefault="005B2A37" w:rsidP="00D5699E">
      <w:pPr>
        <w:pStyle w:val="Paragraphedeliste"/>
        <w:numPr>
          <w:ilvl w:val="0"/>
          <w:numId w:val="60"/>
        </w:numPr>
        <w:jc w:val="both"/>
        <w:rPr>
          <w:color w:val="0000FF" w:themeColor="hyperlink"/>
          <w:u w:val="single"/>
        </w:rPr>
      </w:pPr>
      <w:r>
        <w:rPr>
          <w:bCs/>
          <w:sz w:val="24"/>
          <w:szCs w:val="24"/>
        </w:rPr>
        <w:t>La</w:t>
      </w:r>
      <w:r w:rsidR="00140738">
        <w:rPr>
          <w:bCs/>
          <w:sz w:val="24"/>
          <w:szCs w:val="24"/>
        </w:rPr>
        <w:t xml:space="preserve"> circulaire numéro 4 de 2017 interdit aux agents de l’état de s’exprimer publiquement sans </w:t>
      </w:r>
      <w:r>
        <w:rPr>
          <w:bCs/>
          <w:sz w:val="24"/>
          <w:szCs w:val="24"/>
        </w:rPr>
        <w:t>autorisation</w:t>
      </w:r>
      <w:r w:rsidR="00140738">
        <w:rPr>
          <w:bCs/>
          <w:sz w:val="24"/>
          <w:szCs w:val="24"/>
        </w:rPr>
        <w:t xml:space="preserve"> de leur hiérarchie. </w:t>
      </w:r>
      <w:r>
        <w:rPr>
          <w:bCs/>
          <w:sz w:val="24"/>
          <w:szCs w:val="24"/>
        </w:rPr>
        <w:t xml:space="preserve">Cette circulaire, même si elle ne concerne que la communication publique et en aucun cas l’accès à l’information ou la publication des données, est perçue par la SC ainsi que par quelques interlocuteurs du gouvernement comment un frein potentiel et un alibi potentiel pour justifier un refus d’accès. </w:t>
      </w:r>
    </w:p>
    <w:p w14:paraId="5C77A7D7" w14:textId="77777777" w:rsidR="008B3687" w:rsidRPr="007920A9" w:rsidRDefault="008B3687" w:rsidP="00026C12">
      <w:pPr>
        <w:pStyle w:val="Default"/>
        <w:jc w:val="both"/>
        <w:rPr>
          <w:rFonts w:asciiTheme="minorHAnsi" w:hAnsiTheme="minorHAnsi"/>
          <w:color w:val="auto"/>
          <w:lang w:val="fr-FR"/>
        </w:rPr>
      </w:pPr>
    </w:p>
    <w:p w14:paraId="756ED55E" w14:textId="77777777" w:rsidR="008B3687" w:rsidRPr="007920A9" w:rsidRDefault="008B3687" w:rsidP="00026C12">
      <w:pPr>
        <w:autoSpaceDE w:val="0"/>
        <w:autoSpaceDN w:val="0"/>
        <w:adjustRightInd w:val="0"/>
        <w:spacing w:after="0" w:line="240" w:lineRule="auto"/>
        <w:jc w:val="both"/>
        <w:rPr>
          <w:rFonts w:cs="Times New Roman"/>
          <w:b/>
        </w:rPr>
      </w:pPr>
    </w:p>
    <w:p w14:paraId="6B7E693C" w14:textId="5F513312" w:rsidR="00201E72" w:rsidRPr="007920A9" w:rsidRDefault="00201E72" w:rsidP="00026C12">
      <w:pPr>
        <w:pStyle w:val="Sous-titre"/>
        <w:spacing w:before="0" w:after="240"/>
        <w:jc w:val="both"/>
        <w:rPr>
          <w:rStyle w:val="Emphaseple"/>
          <w:color w:val="auto"/>
          <w:lang w:val="fr-FR"/>
        </w:rPr>
      </w:pPr>
      <w:r w:rsidRPr="007920A9">
        <w:rPr>
          <w:rStyle w:val="Emphaseple"/>
          <w:color w:val="auto"/>
          <w:lang w:val="fr-FR"/>
        </w:rPr>
        <w:t>Evaluation du CADRE REGLEMENTAIRE ET JURIDIQUE</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276"/>
        <w:gridCol w:w="1276"/>
        <w:gridCol w:w="4785"/>
      </w:tblGrid>
      <w:tr w:rsidR="003A7E2D" w:rsidRPr="007920A9" w14:paraId="6E299AA2" w14:textId="77777777" w:rsidTr="00334F88">
        <w:trPr>
          <w:cantSplit/>
          <w:trHeight w:val="305"/>
          <w:tblHeader/>
        </w:trPr>
        <w:tc>
          <w:tcPr>
            <w:tcW w:w="1951" w:type="dxa"/>
            <w:shd w:val="clear" w:color="auto" w:fill="D9D9D9" w:themeFill="background1" w:themeFillShade="D9"/>
            <w:vAlign w:val="center"/>
          </w:tcPr>
          <w:p w14:paraId="6B981E6D" w14:textId="77777777" w:rsidR="003A7E2D" w:rsidRPr="007920A9" w:rsidRDefault="003A7E2D" w:rsidP="00026C12">
            <w:pPr>
              <w:spacing w:after="0"/>
              <w:jc w:val="both"/>
              <w:rPr>
                <w:b/>
              </w:rPr>
            </w:pPr>
            <w:r w:rsidRPr="007920A9">
              <w:rPr>
                <w:b/>
              </w:rPr>
              <w:t>Domaine</w:t>
            </w:r>
          </w:p>
        </w:tc>
        <w:tc>
          <w:tcPr>
            <w:tcW w:w="1276" w:type="dxa"/>
            <w:shd w:val="clear" w:color="auto" w:fill="D9D9D9" w:themeFill="background1" w:themeFillShade="D9"/>
            <w:vAlign w:val="center"/>
          </w:tcPr>
          <w:p w14:paraId="45D430B6" w14:textId="77777777" w:rsidR="003A7E2D" w:rsidRPr="007920A9" w:rsidRDefault="003A7E2D" w:rsidP="00026C12">
            <w:pPr>
              <w:spacing w:after="0"/>
              <w:jc w:val="both"/>
              <w:rPr>
                <w:b/>
              </w:rPr>
            </w:pPr>
            <w:r w:rsidRPr="007920A9">
              <w:rPr>
                <w:b/>
              </w:rPr>
              <w:t>Importance</w:t>
            </w:r>
          </w:p>
        </w:tc>
        <w:tc>
          <w:tcPr>
            <w:tcW w:w="1276" w:type="dxa"/>
            <w:shd w:val="clear" w:color="auto" w:fill="D9D9D9" w:themeFill="background1" w:themeFillShade="D9"/>
            <w:vAlign w:val="center"/>
          </w:tcPr>
          <w:p w14:paraId="785D8C5B" w14:textId="77777777" w:rsidR="003A7E2D" w:rsidRPr="007920A9" w:rsidRDefault="003A7E2D" w:rsidP="00026C12">
            <w:pPr>
              <w:spacing w:after="0"/>
              <w:jc w:val="both"/>
              <w:rPr>
                <w:b/>
              </w:rPr>
            </w:pPr>
            <w:r w:rsidRPr="007920A9">
              <w:rPr>
                <w:b/>
              </w:rPr>
              <w:t>Evaluation</w:t>
            </w:r>
          </w:p>
        </w:tc>
        <w:tc>
          <w:tcPr>
            <w:tcW w:w="4785" w:type="dxa"/>
            <w:shd w:val="clear" w:color="auto" w:fill="D9D9D9" w:themeFill="background1" w:themeFillShade="D9"/>
            <w:vAlign w:val="center"/>
          </w:tcPr>
          <w:p w14:paraId="37DE81E2" w14:textId="77777777" w:rsidR="003A7E2D" w:rsidRPr="007920A9" w:rsidRDefault="003A7E2D" w:rsidP="00026C12">
            <w:pPr>
              <w:spacing w:after="0"/>
              <w:jc w:val="both"/>
              <w:rPr>
                <w:b/>
              </w:rPr>
            </w:pPr>
            <w:r w:rsidRPr="007920A9">
              <w:rPr>
                <w:b/>
              </w:rPr>
              <w:t>Commentaires</w:t>
            </w:r>
          </w:p>
        </w:tc>
      </w:tr>
      <w:tr w:rsidR="003A7E2D" w:rsidRPr="007920A9" w14:paraId="54FE516A" w14:textId="77777777" w:rsidTr="00334F88">
        <w:tc>
          <w:tcPr>
            <w:tcW w:w="1951" w:type="dxa"/>
            <w:vAlign w:val="center"/>
          </w:tcPr>
          <w:p w14:paraId="4D1E2965" w14:textId="3E370B31" w:rsidR="003A7E2D" w:rsidRPr="007920A9" w:rsidRDefault="006B5D45" w:rsidP="00026C12">
            <w:pPr>
              <w:spacing w:after="0"/>
              <w:jc w:val="both"/>
              <w:rPr>
                <w:b/>
              </w:rPr>
            </w:pPr>
            <w:r w:rsidRPr="007920A9">
              <w:rPr>
                <w:b/>
                <w:bCs/>
              </w:rPr>
              <w:t>Réglementation</w:t>
            </w:r>
            <w:r w:rsidR="00201E72" w:rsidRPr="007920A9">
              <w:rPr>
                <w:b/>
                <w:bCs/>
              </w:rPr>
              <w:t xml:space="preserve"> sur la protection de la vie privée </w:t>
            </w:r>
          </w:p>
        </w:tc>
        <w:tc>
          <w:tcPr>
            <w:tcW w:w="1276" w:type="dxa"/>
            <w:vAlign w:val="center"/>
          </w:tcPr>
          <w:p w14:paraId="1926DAF0" w14:textId="77777777" w:rsidR="003A7E2D" w:rsidRPr="007920A9" w:rsidRDefault="00201E72" w:rsidP="00026C12">
            <w:pPr>
              <w:spacing w:after="0"/>
              <w:jc w:val="both"/>
            </w:pPr>
            <w:r w:rsidRPr="007920A9">
              <w:rPr>
                <w:b/>
                <w:bCs/>
              </w:rPr>
              <w:t>Très Élevée</w:t>
            </w:r>
          </w:p>
        </w:tc>
        <w:tc>
          <w:tcPr>
            <w:tcW w:w="1276" w:type="dxa"/>
            <w:shd w:val="clear" w:color="auto" w:fill="auto"/>
            <w:vAlign w:val="center"/>
          </w:tcPr>
          <w:p w14:paraId="02A9FB76" w14:textId="46E99139" w:rsidR="003A7E2D" w:rsidRPr="007920A9" w:rsidRDefault="00E130EB" w:rsidP="00026C12">
            <w:pPr>
              <w:spacing w:after="0"/>
              <w:jc w:val="both"/>
              <w:rPr>
                <w:highlight w:val="lightGray"/>
              </w:rPr>
            </w:pPr>
            <w:r w:rsidRPr="007920A9">
              <w:rPr>
                <w:b/>
                <w:bCs/>
                <w:highlight w:val="yellow"/>
              </w:rPr>
              <w:t>JAUNE</w:t>
            </w:r>
            <w:r w:rsidRPr="007920A9">
              <w:rPr>
                <w:b/>
                <w:bCs/>
              </w:rPr>
              <w:t>/</w:t>
            </w:r>
            <w:r>
              <w:rPr>
                <w:b/>
                <w:bCs/>
              </w:rPr>
              <w:t xml:space="preserve"> </w:t>
            </w:r>
            <w:r w:rsidRPr="007920A9">
              <w:rPr>
                <w:b/>
                <w:bCs/>
                <w:highlight w:val="green"/>
              </w:rPr>
              <w:t>VERT</w:t>
            </w:r>
          </w:p>
        </w:tc>
        <w:tc>
          <w:tcPr>
            <w:tcW w:w="4785" w:type="dxa"/>
            <w:vAlign w:val="center"/>
          </w:tcPr>
          <w:p w14:paraId="4E20A247" w14:textId="692CE5FD" w:rsidR="003A7E2D" w:rsidRPr="007920A9" w:rsidRDefault="00662A1F" w:rsidP="00A52A88">
            <w:pPr>
              <w:spacing w:after="0" w:line="240" w:lineRule="auto"/>
            </w:pPr>
            <w:r w:rsidRPr="007920A9">
              <w:t xml:space="preserve">Même si la </w:t>
            </w:r>
            <w:r w:rsidR="007F7913" w:rsidRPr="007F7913">
              <w:t>loi organique n° 2004-63 du 27 juillet 2004, portant sur la protection des données à caractère personnel</w:t>
            </w:r>
            <w:r w:rsidR="007F7913">
              <w:t xml:space="preserve"> </w:t>
            </w:r>
            <w:r w:rsidRPr="007920A9">
              <w:t>n’est pas au niveau des standards internationaux, l’adhésion à la convention 108 du Conseil de l’Europe, ainsi que le projet de loi actuel démontre une volonté politique pour mettre en place un arsenal législatif approprié pour la protection des données personnel</w:t>
            </w:r>
            <w:r w:rsidR="003C0F2A">
              <w:t>le</w:t>
            </w:r>
            <w:r w:rsidRPr="007920A9">
              <w:t>s</w:t>
            </w:r>
            <w:r w:rsidR="00E130EB">
              <w:t xml:space="preserve">. Toutefois, même si un projet de loi suivant les standards internationaux est déjà publié, le processus législatif </w:t>
            </w:r>
            <w:r w:rsidR="003C0F2A">
              <w:t>prend du temps</w:t>
            </w:r>
            <w:r w:rsidR="00E130EB">
              <w:t xml:space="preserve"> et l</w:t>
            </w:r>
            <w:r w:rsidR="007F7913">
              <w:t>a</w:t>
            </w:r>
            <w:r w:rsidR="00E130EB">
              <w:t xml:space="preserve"> </w:t>
            </w:r>
            <w:r w:rsidR="007F7913" w:rsidRPr="007F7913">
              <w:t>loi organique n° 2004-63 du 27 juillet 2004</w:t>
            </w:r>
            <w:r w:rsidR="00E130EB">
              <w:t xml:space="preserve"> est </w:t>
            </w:r>
            <w:r w:rsidR="003C0F2A">
              <w:t xml:space="preserve">donc </w:t>
            </w:r>
            <w:r w:rsidR="00E130EB">
              <w:t>toujours officiellement en vigueur.</w:t>
            </w:r>
          </w:p>
        </w:tc>
      </w:tr>
      <w:tr w:rsidR="00334F88" w:rsidRPr="007920A9" w14:paraId="56A5BA7F" w14:textId="77777777" w:rsidTr="00334F88">
        <w:tc>
          <w:tcPr>
            <w:tcW w:w="1951" w:type="dxa"/>
            <w:vAlign w:val="center"/>
          </w:tcPr>
          <w:p w14:paraId="3B863543" w14:textId="22CA0D3C" w:rsidR="00334F88" w:rsidRPr="007920A9" w:rsidRDefault="006B5D45" w:rsidP="00334F88">
            <w:pPr>
              <w:spacing w:after="0"/>
              <w:jc w:val="both"/>
              <w:rPr>
                <w:b/>
              </w:rPr>
            </w:pPr>
            <w:r w:rsidRPr="007920A9">
              <w:rPr>
                <w:b/>
                <w:bCs/>
              </w:rPr>
              <w:t>Lois</w:t>
            </w:r>
            <w:r w:rsidR="00334F88" w:rsidRPr="007920A9">
              <w:rPr>
                <w:b/>
                <w:bCs/>
              </w:rPr>
              <w:t xml:space="preserve"> sur l’accès aux informations publiques/administratives</w:t>
            </w:r>
          </w:p>
        </w:tc>
        <w:tc>
          <w:tcPr>
            <w:tcW w:w="1276" w:type="dxa"/>
            <w:vAlign w:val="center"/>
          </w:tcPr>
          <w:p w14:paraId="26B61871" w14:textId="77777777" w:rsidR="00334F88" w:rsidRPr="007920A9" w:rsidRDefault="00334F88" w:rsidP="00334F88">
            <w:pPr>
              <w:spacing w:after="0"/>
              <w:jc w:val="both"/>
            </w:pPr>
            <w:r w:rsidRPr="007920A9">
              <w:rPr>
                <w:b/>
                <w:bCs/>
              </w:rPr>
              <w:t>Très Élevée</w:t>
            </w:r>
          </w:p>
        </w:tc>
        <w:tc>
          <w:tcPr>
            <w:tcW w:w="1276" w:type="dxa"/>
            <w:tcBorders>
              <w:bottom w:val="single" w:sz="4" w:space="0" w:color="auto"/>
            </w:tcBorders>
            <w:shd w:val="clear" w:color="auto" w:fill="auto"/>
            <w:vAlign w:val="center"/>
          </w:tcPr>
          <w:p w14:paraId="32D47D5F" w14:textId="65FC4EA6" w:rsidR="00334F88" w:rsidRPr="007920A9" w:rsidRDefault="00334F88" w:rsidP="00334F88">
            <w:pPr>
              <w:spacing w:after="0"/>
              <w:jc w:val="both"/>
              <w:rPr>
                <w:highlight w:val="yellow"/>
              </w:rPr>
            </w:pPr>
            <w:r w:rsidRPr="007920A9">
              <w:rPr>
                <w:b/>
                <w:bCs/>
                <w:highlight w:val="yellow"/>
              </w:rPr>
              <w:t>JAUNE</w:t>
            </w:r>
            <w:r w:rsidRPr="007920A9">
              <w:rPr>
                <w:b/>
                <w:bCs/>
              </w:rPr>
              <w:t>/</w:t>
            </w:r>
            <w:r>
              <w:rPr>
                <w:b/>
                <w:bCs/>
              </w:rPr>
              <w:t xml:space="preserve"> </w:t>
            </w:r>
            <w:r w:rsidRPr="007920A9">
              <w:rPr>
                <w:b/>
                <w:bCs/>
                <w:highlight w:val="green"/>
              </w:rPr>
              <w:t>VERT</w:t>
            </w:r>
          </w:p>
        </w:tc>
        <w:tc>
          <w:tcPr>
            <w:tcW w:w="4785" w:type="dxa"/>
            <w:vAlign w:val="center"/>
          </w:tcPr>
          <w:p w14:paraId="29EF2686" w14:textId="7A8018F0" w:rsidR="00334F88" w:rsidRPr="007920A9" w:rsidRDefault="00334F88" w:rsidP="00334F88">
            <w:pPr>
              <w:pStyle w:val="En-tte"/>
              <w:tabs>
                <w:tab w:val="clear" w:pos="4513"/>
                <w:tab w:val="clear" w:pos="9026"/>
              </w:tabs>
              <w:spacing w:before="0" w:after="0" w:line="240" w:lineRule="auto"/>
              <w:rPr>
                <w:sz w:val="22"/>
                <w:szCs w:val="22"/>
                <w:lang w:val="fr-FR"/>
              </w:rPr>
            </w:pPr>
            <w:r w:rsidRPr="007920A9">
              <w:rPr>
                <w:sz w:val="22"/>
                <w:szCs w:val="22"/>
                <w:lang w:val="fr-FR"/>
              </w:rPr>
              <w:t xml:space="preserve">La </w:t>
            </w:r>
            <w:r w:rsidR="007F7913" w:rsidRPr="007F7913">
              <w:rPr>
                <w:sz w:val="22"/>
                <w:szCs w:val="22"/>
                <w:lang w:val="fr-FR"/>
              </w:rPr>
              <w:t>loi organique n° 2016-22 du 24 mars 2016, relative au droit d’accès à l’information</w:t>
            </w:r>
            <w:r w:rsidR="007F7913">
              <w:rPr>
                <w:sz w:val="22"/>
                <w:szCs w:val="22"/>
                <w:lang w:val="fr-FR"/>
              </w:rPr>
              <w:t xml:space="preserve"> </w:t>
            </w:r>
            <w:r w:rsidRPr="007920A9">
              <w:rPr>
                <w:sz w:val="22"/>
                <w:szCs w:val="22"/>
                <w:lang w:val="fr-FR"/>
              </w:rPr>
              <w:t xml:space="preserve">est unanimement reconnue comme très progressiste. Toutefois </w:t>
            </w:r>
            <w:r>
              <w:rPr>
                <w:sz w:val="22"/>
                <w:szCs w:val="22"/>
                <w:lang w:val="fr-FR"/>
              </w:rPr>
              <w:t>elle n’est pas encore en vigueur et les décrets d’application ne sont pas paru</w:t>
            </w:r>
            <w:r w:rsidR="003C0F2A">
              <w:rPr>
                <w:sz w:val="22"/>
                <w:szCs w:val="22"/>
                <w:lang w:val="fr-FR"/>
              </w:rPr>
              <w:t>s</w:t>
            </w:r>
            <w:r>
              <w:rPr>
                <w:sz w:val="22"/>
                <w:szCs w:val="22"/>
                <w:lang w:val="fr-FR"/>
              </w:rPr>
              <w:t xml:space="preserve"> au journal officiel. </w:t>
            </w:r>
          </w:p>
        </w:tc>
      </w:tr>
      <w:tr w:rsidR="00334F88" w:rsidRPr="007920A9" w14:paraId="4AF164E7" w14:textId="77777777" w:rsidTr="00334F88">
        <w:tc>
          <w:tcPr>
            <w:tcW w:w="1951" w:type="dxa"/>
            <w:vAlign w:val="center"/>
          </w:tcPr>
          <w:p w14:paraId="2EF07AFC" w14:textId="5B5EBB60" w:rsidR="00334F88" w:rsidRPr="007920A9" w:rsidRDefault="006B5D45" w:rsidP="00334F88">
            <w:pPr>
              <w:spacing w:after="0"/>
              <w:jc w:val="both"/>
              <w:rPr>
                <w:b/>
              </w:rPr>
            </w:pPr>
            <w:r w:rsidRPr="007920A9">
              <w:rPr>
                <w:b/>
                <w:bCs/>
              </w:rPr>
              <w:t>Lois</w:t>
            </w:r>
            <w:r w:rsidR="00334F88" w:rsidRPr="007920A9">
              <w:rPr>
                <w:b/>
                <w:bCs/>
              </w:rPr>
              <w:t xml:space="preserve"> touchant à la sécurité des données, leur archivage et la préservation digitale</w:t>
            </w:r>
          </w:p>
        </w:tc>
        <w:tc>
          <w:tcPr>
            <w:tcW w:w="1276" w:type="dxa"/>
            <w:vAlign w:val="center"/>
          </w:tcPr>
          <w:p w14:paraId="5AAAD370" w14:textId="77777777" w:rsidR="00334F88" w:rsidRPr="007920A9" w:rsidRDefault="00334F88" w:rsidP="00334F88">
            <w:pPr>
              <w:spacing w:after="0"/>
              <w:jc w:val="both"/>
            </w:pPr>
            <w:r w:rsidRPr="007920A9">
              <w:rPr>
                <w:b/>
                <w:bCs/>
              </w:rPr>
              <w:t>Élevée</w:t>
            </w:r>
          </w:p>
        </w:tc>
        <w:tc>
          <w:tcPr>
            <w:tcW w:w="1276" w:type="dxa"/>
            <w:tcBorders>
              <w:bottom w:val="single" w:sz="4" w:space="0" w:color="auto"/>
            </w:tcBorders>
            <w:shd w:val="clear" w:color="auto" w:fill="auto"/>
            <w:vAlign w:val="center"/>
          </w:tcPr>
          <w:p w14:paraId="667E4AE0" w14:textId="78F8A422" w:rsidR="00334F88" w:rsidRPr="007920A9" w:rsidRDefault="00334F88" w:rsidP="00334F88">
            <w:pPr>
              <w:spacing w:after="0"/>
              <w:jc w:val="both"/>
              <w:rPr>
                <w:b/>
                <w:highlight w:val="yellow"/>
              </w:rPr>
            </w:pPr>
            <w:r w:rsidRPr="007920A9">
              <w:rPr>
                <w:b/>
                <w:bCs/>
                <w:highlight w:val="yellow"/>
              </w:rPr>
              <w:t>JAUNE</w:t>
            </w:r>
          </w:p>
        </w:tc>
        <w:tc>
          <w:tcPr>
            <w:tcW w:w="4785" w:type="dxa"/>
            <w:vAlign w:val="center"/>
          </w:tcPr>
          <w:p w14:paraId="3EF974FA" w14:textId="7CB149AB" w:rsidR="00334F88" w:rsidRDefault="00334F88" w:rsidP="00334F88">
            <w:pPr>
              <w:spacing w:after="0" w:line="240" w:lineRule="auto"/>
            </w:pPr>
            <w:r w:rsidRPr="007920A9">
              <w:t xml:space="preserve">La </w:t>
            </w:r>
            <w:r w:rsidR="007F7913">
              <w:t>l</w:t>
            </w:r>
            <w:r w:rsidR="007F7913" w:rsidRPr="007F7913">
              <w:t>oi n 88-95 du 2 aout 1988 relative aux archives</w:t>
            </w:r>
            <w:r w:rsidR="008A2E32">
              <w:t xml:space="preserve"> </w:t>
            </w:r>
            <w:r w:rsidRPr="007920A9">
              <w:t xml:space="preserve">définit clairement l’accès aux archives. Toutefois, la loi n’inclut pas </w:t>
            </w:r>
            <w:r w:rsidR="003C0F2A">
              <w:t>la</w:t>
            </w:r>
            <w:r w:rsidR="003C0F2A" w:rsidRPr="007920A9">
              <w:t xml:space="preserve"> </w:t>
            </w:r>
            <w:r w:rsidRPr="007920A9">
              <w:t>numérisation des archives, ni leur publication en ligne. Ces aspects font partie de l’engagement 14 du plan d’action du PGO et devraient donc être implémentés dans un futur proche</w:t>
            </w:r>
            <w:r w:rsidR="000D611C">
              <w:t>.</w:t>
            </w:r>
          </w:p>
          <w:p w14:paraId="160B4F64" w14:textId="16BC49E4" w:rsidR="000D611C" w:rsidRPr="007920A9" w:rsidRDefault="000D611C" w:rsidP="00334F88">
            <w:pPr>
              <w:spacing w:after="0" w:line="240" w:lineRule="auto"/>
            </w:pPr>
            <w:r>
              <w:t>Il n’y a pas de recommandation ni de cadre global pour la conservation digitale.</w:t>
            </w:r>
          </w:p>
        </w:tc>
      </w:tr>
      <w:tr w:rsidR="00334F88" w:rsidRPr="007920A9" w14:paraId="64970718" w14:textId="77777777" w:rsidTr="00334F88">
        <w:tc>
          <w:tcPr>
            <w:tcW w:w="1951" w:type="dxa"/>
            <w:tcBorders>
              <w:bottom w:val="single" w:sz="4" w:space="0" w:color="auto"/>
            </w:tcBorders>
            <w:vAlign w:val="center"/>
          </w:tcPr>
          <w:p w14:paraId="29B8C6E3" w14:textId="310EA109" w:rsidR="00334F88" w:rsidRPr="007920A9" w:rsidRDefault="006B5D45" w:rsidP="00334F88">
            <w:pPr>
              <w:spacing w:after="0"/>
              <w:jc w:val="both"/>
              <w:rPr>
                <w:b/>
              </w:rPr>
            </w:pPr>
            <w:r w:rsidRPr="007920A9">
              <w:rPr>
                <w:b/>
                <w:bCs/>
              </w:rPr>
              <w:t>Règlements</w:t>
            </w:r>
            <w:r w:rsidR="00334F88" w:rsidRPr="007920A9">
              <w:rPr>
                <w:b/>
                <w:bCs/>
              </w:rPr>
              <w:t xml:space="preserve"> sur la propriété et les licences attachées aux données </w:t>
            </w:r>
          </w:p>
        </w:tc>
        <w:tc>
          <w:tcPr>
            <w:tcW w:w="1276" w:type="dxa"/>
            <w:tcBorders>
              <w:bottom w:val="single" w:sz="4" w:space="0" w:color="auto"/>
            </w:tcBorders>
            <w:vAlign w:val="center"/>
          </w:tcPr>
          <w:p w14:paraId="30B2CB8E" w14:textId="77777777" w:rsidR="00334F88" w:rsidRPr="007920A9" w:rsidRDefault="00334F88" w:rsidP="00334F88">
            <w:pPr>
              <w:spacing w:after="0"/>
              <w:jc w:val="both"/>
            </w:pPr>
            <w:r w:rsidRPr="007920A9">
              <w:rPr>
                <w:b/>
                <w:bCs/>
              </w:rPr>
              <w:t>Très Élevée</w:t>
            </w:r>
          </w:p>
        </w:tc>
        <w:tc>
          <w:tcPr>
            <w:tcW w:w="1276" w:type="dxa"/>
            <w:tcBorders>
              <w:bottom w:val="single" w:sz="4" w:space="0" w:color="auto"/>
            </w:tcBorders>
            <w:shd w:val="clear" w:color="auto" w:fill="auto"/>
            <w:vAlign w:val="center"/>
          </w:tcPr>
          <w:p w14:paraId="5637DF4D" w14:textId="33714A8A" w:rsidR="00334F88" w:rsidRPr="007920A9" w:rsidRDefault="00334F88" w:rsidP="00334F88">
            <w:pPr>
              <w:spacing w:after="0"/>
              <w:jc w:val="both"/>
              <w:rPr>
                <w:highlight w:val="yellow"/>
              </w:rPr>
            </w:pPr>
            <w:r w:rsidRPr="007920A9">
              <w:rPr>
                <w:b/>
                <w:bCs/>
                <w:highlight w:val="yellow"/>
              </w:rPr>
              <w:t>JAUNE</w:t>
            </w:r>
          </w:p>
        </w:tc>
        <w:tc>
          <w:tcPr>
            <w:tcW w:w="4785" w:type="dxa"/>
            <w:vAlign w:val="center"/>
          </w:tcPr>
          <w:p w14:paraId="29CBFA7C" w14:textId="77777777" w:rsidR="00334F88" w:rsidRPr="007920A9" w:rsidRDefault="00334F88" w:rsidP="00334F88">
            <w:pPr>
              <w:spacing w:after="0" w:line="240" w:lineRule="auto"/>
            </w:pPr>
            <w:r w:rsidRPr="007920A9">
              <w:t>La plupart des données publiées à ce jour sur les différents portails des ministères ont une licence ouverte. Toutefois, il y a une grande diversité de licences entre les portails, certains jeux n’ont pas de licences, et certaines licences sont restrictives.</w:t>
            </w:r>
          </w:p>
          <w:p w14:paraId="387E6936" w14:textId="2F34629E" w:rsidR="00334F88" w:rsidRPr="007920A9" w:rsidRDefault="00334F88" w:rsidP="00334F88">
            <w:pPr>
              <w:spacing w:after="0" w:line="240" w:lineRule="auto"/>
            </w:pPr>
            <w:r w:rsidRPr="007920A9">
              <w:t xml:space="preserve">Il n’y a pas de législation sur la propriété des données, ni sur </w:t>
            </w:r>
            <w:r w:rsidR="006B5D45" w:rsidRPr="007920A9">
              <w:t>leurs licences</w:t>
            </w:r>
            <w:r w:rsidR="000D611C">
              <w:t xml:space="preserve">. Les travaux en cours sur une législation spécifique pour la réutilisation des informations </w:t>
            </w:r>
            <w:r w:rsidR="006B5D45">
              <w:t>devraient</w:t>
            </w:r>
            <w:r w:rsidR="000D611C">
              <w:t xml:space="preserve"> combler ce vide juridique.</w:t>
            </w:r>
          </w:p>
        </w:tc>
      </w:tr>
      <w:tr w:rsidR="00334F88" w:rsidRPr="007920A9" w14:paraId="705C1780" w14:textId="77777777" w:rsidTr="00334F88">
        <w:tc>
          <w:tcPr>
            <w:tcW w:w="1951" w:type="dxa"/>
            <w:tcBorders>
              <w:bottom w:val="single" w:sz="4" w:space="0" w:color="auto"/>
            </w:tcBorders>
            <w:vAlign w:val="center"/>
          </w:tcPr>
          <w:p w14:paraId="10F812B1" w14:textId="77777777" w:rsidR="00334F88" w:rsidRPr="007920A9" w:rsidRDefault="00334F88" w:rsidP="00334F88">
            <w:pPr>
              <w:spacing w:after="0"/>
              <w:jc w:val="both"/>
              <w:rPr>
                <w:b/>
              </w:rPr>
            </w:pPr>
            <w:r w:rsidRPr="007920A9">
              <w:rPr>
                <w:b/>
              </w:rPr>
              <w:t>Vente de données</w:t>
            </w:r>
          </w:p>
        </w:tc>
        <w:tc>
          <w:tcPr>
            <w:tcW w:w="1276" w:type="dxa"/>
            <w:tcBorders>
              <w:bottom w:val="single" w:sz="4" w:space="0" w:color="auto"/>
            </w:tcBorders>
            <w:vAlign w:val="center"/>
          </w:tcPr>
          <w:p w14:paraId="17F1C427" w14:textId="77777777" w:rsidR="00334F88" w:rsidRPr="007920A9" w:rsidRDefault="00334F88" w:rsidP="00334F88">
            <w:pPr>
              <w:spacing w:after="0"/>
              <w:jc w:val="both"/>
            </w:pPr>
            <w:r w:rsidRPr="007920A9">
              <w:rPr>
                <w:b/>
                <w:bCs/>
              </w:rPr>
              <w:t>Élevée</w:t>
            </w:r>
          </w:p>
        </w:tc>
        <w:tc>
          <w:tcPr>
            <w:tcW w:w="1276" w:type="dxa"/>
            <w:shd w:val="clear" w:color="auto" w:fill="auto"/>
            <w:vAlign w:val="center"/>
          </w:tcPr>
          <w:p w14:paraId="30FEDA52" w14:textId="5AEA0561" w:rsidR="00334F88" w:rsidRPr="007920A9" w:rsidRDefault="000D611C" w:rsidP="00334F88">
            <w:pPr>
              <w:spacing w:after="0"/>
              <w:jc w:val="both"/>
              <w:rPr>
                <w:highlight w:val="yellow"/>
              </w:rPr>
            </w:pPr>
            <w:r w:rsidRPr="007920A9">
              <w:rPr>
                <w:b/>
                <w:bCs/>
                <w:highlight w:val="green"/>
              </w:rPr>
              <w:t>VERT</w:t>
            </w:r>
          </w:p>
        </w:tc>
        <w:tc>
          <w:tcPr>
            <w:tcW w:w="4785" w:type="dxa"/>
            <w:vAlign w:val="center"/>
          </w:tcPr>
          <w:p w14:paraId="3C0A4093" w14:textId="407776ED" w:rsidR="00334F88" w:rsidRPr="007920A9" w:rsidRDefault="001045F9" w:rsidP="00334F88">
            <w:pPr>
              <w:spacing w:after="0" w:line="240" w:lineRule="auto"/>
            </w:pPr>
            <w:r>
              <w:t>A l’exception du registre des sociétés, i</w:t>
            </w:r>
            <w:r w:rsidR="00334F88" w:rsidRPr="007920A9">
              <w:t>l n’y a apparemment aucune agence vendant des données</w:t>
            </w:r>
            <w:r>
              <w:t xml:space="preserve"> à l’extérieure du Gouvernement </w:t>
            </w:r>
            <w:r w:rsidR="000D611C">
              <w:t>m</w:t>
            </w:r>
            <w:r w:rsidR="003C0F2A">
              <w:t>a</w:t>
            </w:r>
            <w:r w:rsidR="000D611C">
              <w:t xml:space="preserve">is de façon surprenante </w:t>
            </w:r>
            <w:r w:rsidR="006B5D45">
              <w:t>des ventes</w:t>
            </w:r>
            <w:r w:rsidR="000D611C">
              <w:t xml:space="preserve"> de données </w:t>
            </w:r>
            <w:r>
              <w:t>à l’intérieur de l’</w:t>
            </w:r>
            <w:r w:rsidR="000D611C">
              <w:t>administration</w:t>
            </w:r>
            <w:r>
              <w:t xml:space="preserve"> semblent exister</w:t>
            </w:r>
            <w:r w:rsidR="000D611C">
              <w:t>.</w:t>
            </w:r>
          </w:p>
        </w:tc>
      </w:tr>
      <w:tr w:rsidR="00334F88" w:rsidRPr="007920A9" w14:paraId="1D464991" w14:textId="77777777" w:rsidTr="00334F88">
        <w:tc>
          <w:tcPr>
            <w:tcW w:w="1951" w:type="dxa"/>
            <w:tcBorders>
              <w:bottom w:val="single" w:sz="4" w:space="0" w:color="auto"/>
            </w:tcBorders>
            <w:vAlign w:val="center"/>
          </w:tcPr>
          <w:p w14:paraId="17FE6A03" w14:textId="6FA150C3" w:rsidR="00334F88" w:rsidRPr="007920A9" w:rsidRDefault="006B5D45" w:rsidP="00334F88">
            <w:pPr>
              <w:spacing w:after="0"/>
              <w:jc w:val="both"/>
              <w:rPr>
                <w:b/>
                <w:bCs/>
              </w:rPr>
            </w:pPr>
            <w:r w:rsidRPr="007920A9">
              <w:rPr>
                <w:rFonts w:cs="Times New Roman"/>
                <w:b/>
              </w:rPr>
              <w:t>Réglementations</w:t>
            </w:r>
            <w:r w:rsidR="00334F88" w:rsidRPr="007920A9">
              <w:rPr>
                <w:rFonts w:cs="Times New Roman"/>
                <w:b/>
              </w:rPr>
              <w:t xml:space="preserve"> impactant l’ouverture des données</w:t>
            </w:r>
          </w:p>
        </w:tc>
        <w:tc>
          <w:tcPr>
            <w:tcW w:w="1276" w:type="dxa"/>
            <w:tcBorders>
              <w:bottom w:val="single" w:sz="4" w:space="0" w:color="auto"/>
            </w:tcBorders>
            <w:vAlign w:val="center"/>
          </w:tcPr>
          <w:p w14:paraId="1635A6C5" w14:textId="77777777" w:rsidR="00334F88" w:rsidRPr="007920A9" w:rsidRDefault="00334F88" w:rsidP="00334F88">
            <w:pPr>
              <w:spacing w:after="0"/>
              <w:jc w:val="both"/>
              <w:rPr>
                <w:b/>
                <w:bCs/>
              </w:rPr>
            </w:pPr>
            <w:r w:rsidRPr="007920A9">
              <w:rPr>
                <w:b/>
                <w:bCs/>
              </w:rPr>
              <w:t>Élevée</w:t>
            </w:r>
          </w:p>
        </w:tc>
        <w:tc>
          <w:tcPr>
            <w:tcW w:w="1276" w:type="dxa"/>
            <w:shd w:val="clear" w:color="auto" w:fill="auto"/>
            <w:vAlign w:val="center"/>
          </w:tcPr>
          <w:p w14:paraId="234B9774" w14:textId="77DC176A" w:rsidR="00334F88" w:rsidRPr="007920A9" w:rsidRDefault="000D611C" w:rsidP="00334F88">
            <w:pPr>
              <w:spacing w:after="0"/>
              <w:jc w:val="both"/>
              <w:rPr>
                <w:b/>
                <w:bCs/>
                <w:highlight w:val="red"/>
              </w:rPr>
            </w:pPr>
            <w:r w:rsidRPr="007920A9">
              <w:rPr>
                <w:b/>
                <w:bCs/>
                <w:highlight w:val="green"/>
              </w:rPr>
              <w:t>VERT</w:t>
            </w:r>
          </w:p>
        </w:tc>
        <w:tc>
          <w:tcPr>
            <w:tcW w:w="4785" w:type="dxa"/>
            <w:vAlign w:val="center"/>
          </w:tcPr>
          <w:p w14:paraId="25FE0659" w14:textId="54225137" w:rsidR="00334F88" w:rsidRPr="007920A9" w:rsidRDefault="00334F88" w:rsidP="00334F88">
            <w:pPr>
              <w:spacing w:after="0" w:line="240" w:lineRule="auto"/>
            </w:pPr>
            <w:r w:rsidRPr="007920A9">
              <w:t>Il n’a pas été possible d’identifier des lois ou règlements régissant l’accès à des données sensibles spécifiques qui limiteraient l’accès à l’information.</w:t>
            </w:r>
            <w:r w:rsidR="000D611C">
              <w:t xml:space="preserve"> A noter qu’une loi est en préparation pour la classification des données informatiques. Il conviendra d’analyser cette loi et s’assurer qu’elle facilite la publication de données et ne mette pas d’obstacle supplémentaire</w:t>
            </w:r>
          </w:p>
        </w:tc>
      </w:tr>
      <w:tr w:rsidR="00334F88" w:rsidRPr="007920A9" w14:paraId="0CBA7458" w14:textId="77777777" w:rsidTr="00334F88">
        <w:tc>
          <w:tcPr>
            <w:tcW w:w="1951" w:type="dxa"/>
            <w:shd w:val="clear" w:color="auto" w:fill="auto"/>
            <w:vAlign w:val="center"/>
          </w:tcPr>
          <w:p w14:paraId="2C811339" w14:textId="77777777" w:rsidR="00334F88" w:rsidRPr="007920A9" w:rsidRDefault="00334F88" w:rsidP="00334F88">
            <w:pPr>
              <w:spacing w:after="0"/>
              <w:jc w:val="both"/>
              <w:rPr>
                <w:b/>
              </w:rPr>
            </w:pPr>
            <w:r w:rsidRPr="007920A9">
              <w:rPr>
                <w:b/>
              </w:rPr>
              <w:t>Résultat Global</w:t>
            </w:r>
          </w:p>
        </w:tc>
        <w:tc>
          <w:tcPr>
            <w:tcW w:w="1276" w:type="dxa"/>
            <w:shd w:val="clear" w:color="auto" w:fill="auto"/>
            <w:vAlign w:val="center"/>
          </w:tcPr>
          <w:p w14:paraId="6ECB397C" w14:textId="77777777" w:rsidR="00334F88" w:rsidRPr="007920A9" w:rsidRDefault="00334F88" w:rsidP="00334F88">
            <w:pPr>
              <w:spacing w:after="0"/>
              <w:jc w:val="both"/>
              <w:rPr>
                <w:b/>
              </w:rPr>
            </w:pPr>
            <w:r w:rsidRPr="007920A9">
              <w:rPr>
                <w:b/>
                <w:bCs/>
              </w:rPr>
              <w:t>Élevée</w:t>
            </w:r>
          </w:p>
        </w:tc>
        <w:tc>
          <w:tcPr>
            <w:tcW w:w="1276" w:type="dxa"/>
            <w:shd w:val="clear" w:color="auto" w:fill="auto"/>
            <w:vAlign w:val="center"/>
          </w:tcPr>
          <w:p w14:paraId="05694AB4" w14:textId="0499B6C0" w:rsidR="00334F88" w:rsidRPr="007920A9" w:rsidRDefault="000D611C" w:rsidP="00334F88">
            <w:pPr>
              <w:spacing w:after="0"/>
              <w:jc w:val="both"/>
              <w:rPr>
                <w:highlight w:val="yellow"/>
              </w:rPr>
            </w:pPr>
            <w:r w:rsidRPr="007920A9">
              <w:rPr>
                <w:b/>
                <w:bCs/>
                <w:highlight w:val="yellow"/>
              </w:rPr>
              <w:t>JAUNE</w:t>
            </w:r>
            <w:r w:rsidRPr="007920A9">
              <w:rPr>
                <w:b/>
                <w:bCs/>
              </w:rPr>
              <w:t>/</w:t>
            </w:r>
            <w:r>
              <w:rPr>
                <w:b/>
                <w:bCs/>
              </w:rPr>
              <w:t xml:space="preserve"> </w:t>
            </w:r>
            <w:r w:rsidRPr="007920A9">
              <w:rPr>
                <w:b/>
                <w:bCs/>
                <w:highlight w:val="green"/>
              </w:rPr>
              <w:t>VERT</w:t>
            </w:r>
          </w:p>
        </w:tc>
        <w:tc>
          <w:tcPr>
            <w:tcW w:w="4785" w:type="dxa"/>
            <w:vAlign w:val="center"/>
          </w:tcPr>
          <w:p w14:paraId="698B057C" w14:textId="43928F62" w:rsidR="00334F88" w:rsidRDefault="00334F88" w:rsidP="00334F88">
            <w:pPr>
              <w:spacing w:after="0" w:line="240" w:lineRule="auto"/>
            </w:pPr>
            <w:r w:rsidRPr="007920A9">
              <w:t xml:space="preserve">Le cadre législatif actuel de la Tunisie, ainsi que l’ensemble des évolutions programmées dans le cadre du plan d’action du PGO, de l’initiative smartGov 2020 ou du plan national stratégique Tunisie Digitale 2020 fournissent un environnement particulièrement adapté à l’ouverture des données publiques. </w:t>
            </w:r>
          </w:p>
          <w:p w14:paraId="0B2C7B8C" w14:textId="14E45112" w:rsidR="000D611C" w:rsidRPr="007920A9" w:rsidRDefault="000D611C" w:rsidP="00334F88">
            <w:pPr>
              <w:spacing w:after="0" w:line="240" w:lineRule="auto"/>
            </w:pPr>
            <w:r>
              <w:t>Il faut maintenant attendre que toutes les lois programmées entre</w:t>
            </w:r>
            <w:r w:rsidR="00733310">
              <w:t>nt</w:t>
            </w:r>
            <w:r>
              <w:t xml:space="preserve"> en vigueur via des décrets d’applications ou soient votées</w:t>
            </w:r>
          </w:p>
          <w:p w14:paraId="33638A39" w14:textId="574EB796" w:rsidR="00334F88" w:rsidRPr="007920A9" w:rsidRDefault="00334F88" w:rsidP="00334F88">
            <w:pPr>
              <w:spacing w:after="0" w:line="240" w:lineRule="auto"/>
            </w:pPr>
            <w:r w:rsidRPr="007920A9">
              <w:t>Pour être complet, cet arsenal devra être complété pour couvrir la réutilisation des données, leurs publications et leurs licences.</w:t>
            </w:r>
          </w:p>
        </w:tc>
      </w:tr>
    </w:tbl>
    <w:p w14:paraId="5541CFD5" w14:textId="77777777" w:rsidR="000D611C" w:rsidRDefault="000D611C" w:rsidP="001662AC">
      <w:bookmarkStart w:id="18" w:name="_Toc459307837"/>
    </w:p>
    <w:p w14:paraId="1A6DE77B" w14:textId="77777777" w:rsidR="000D611C" w:rsidRDefault="000D611C">
      <w:pPr>
        <w:rPr>
          <w:rFonts w:asciiTheme="majorHAnsi" w:eastAsiaTheme="majorEastAsia" w:hAnsiTheme="majorHAnsi" w:cstheme="majorBidi"/>
          <w:b/>
          <w:bCs/>
          <w:caps/>
          <w:color w:val="FFFFFF" w:themeColor="background1"/>
          <w:sz w:val="28"/>
          <w:szCs w:val="28"/>
        </w:rPr>
      </w:pPr>
      <w:r>
        <w:br w:type="page"/>
      </w:r>
    </w:p>
    <w:p w14:paraId="680DF9F5" w14:textId="58CF0E8C" w:rsidR="004C2C41" w:rsidRPr="007920A9" w:rsidRDefault="008B3687" w:rsidP="00026C12">
      <w:pPr>
        <w:pStyle w:val="Titre1"/>
        <w:jc w:val="both"/>
      </w:pPr>
      <w:bookmarkStart w:id="19" w:name="_Toc496544778"/>
      <w:r w:rsidRPr="007920A9">
        <w:t>Structures</w:t>
      </w:r>
      <w:r w:rsidR="004C2C41" w:rsidRPr="007920A9">
        <w:t xml:space="preserve"> institutionnelles, responsabilités et compétences au sein du gouvernement</w:t>
      </w:r>
      <w:bookmarkEnd w:id="18"/>
      <w:bookmarkEnd w:id="19"/>
    </w:p>
    <w:p w14:paraId="7B3B095C" w14:textId="77777777" w:rsidR="00C261A9" w:rsidRPr="007920A9" w:rsidRDefault="00C261A9" w:rsidP="00026C12">
      <w:pPr>
        <w:pStyle w:val="Default"/>
        <w:jc w:val="both"/>
        <w:rPr>
          <w:b/>
          <w:bCs/>
          <w:color w:val="FF3E3E"/>
          <w:sz w:val="28"/>
          <w:szCs w:val="28"/>
          <w:lang w:val="fr-FR"/>
        </w:rPr>
      </w:pPr>
    </w:p>
    <w:p w14:paraId="22E31B10" w14:textId="4564CDD1" w:rsidR="004C2C41" w:rsidRPr="007920A9" w:rsidRDefault="004C2C41" w:rsidP="00026C12">
      <w:pPr>
        <w:pStyle w:val="Default"/>
        <w:jc w:val="both"/>
        <w:rPr>
          <w:rFonts w:asciiTheme="minorHAnsi" w:hAnsiTheme="minorHAnsi"/>
          <w:b/>
          <w:bCs/>
          <w:color w:val="auto"/>
          <w:lang w:val="fr-FR"/>
        </w:rPr>
      </w:pPr>
      <w:r w:rsidRPr="007920A9">
        <w:rPr>
          <w:rFonts w:asciiTheme="minorHAnsi" w:hAnsiTheme="minorHAnsi"/>
          <w:b/>
          <w:bCs/>
          <w:color w:val="auto"/>
          <w:lang w:val="fr-FR"/>
        </w:rPr>
        <w:t>3.1 Existe-t-il une agence ou une entité qui a le mandat, l'expérience de gestion de projet et les compétences techniques pour gérer un portail de données ouvertes ? (Importance: très élevée)</w:t>
      </w:r>
      <w:r w:rsidR="00201E72" w:rsidRPr="007920A9">
        <w:rPr>
          <w:rFonts w:asciiTheme="minorHAnsi" w:hAnsiTheme="minorHAnsi"/>
          <w:b/>
          <w:bCs/>
          <w:color w:val="auto"/>
          <w:lang w:val="fr-FR"/>
        </w:rPr>
        <w:t xml:space="preserve"> </w:t>
      </w:r>
      <w:r w:rsidR="005B2A37" w:rsidRPr="005B2A37">
        <w:rPr>
          <w:rFonts w:asciiTheme="minorHAnsi" w:hAnsiTheme="minorHAnsi"/>
          <w:b/>
          <w:bCs/>
          <w:color w:val="auto"/>
          <w:highlight w:val="green"/>
          <w:lang w:val="fr-FR"/>
        </w:rPr>
        <w:t>VERT</w:t>
      </w:r>
    </w:p>
    <w:p w14:paraId="7D920C66" w14:textId="10B78C35" w:rsidR="008B3687" w:rsidRPr="007920A9" w:rsidRDefault="00A0528D" w:rsidP="008F3747">
      <w:pPr>
        <w:pStyle w:val="Default"/>
        <w:numPr>
          <w:ilvl w:val="0"/>
          <w:numId w:val="9"/>
        </w:numPr>
        <w:jc w:val="both"/>
        <w:rPr>
          <w:rFonts w:asciiTheme="minorHAnsi" w:hAnsiTheme="minorHAnsi" w:cstheme="minorHAnsi"/>
          <w:bCs/>
          <w:color w:val="auto"/>
          <w:lang w:val="fr-FR"/>
        </w:rPr>
      </w:pPr>
      <w:r w:rsidRPr="007920A9">
        <w:rPr>
          <w:rFonts w:asciiTheme="minorHAnsi" w:hAnsiTheme="minorHAnsi" w:cstheme="minorHAnsi"/>
          <w:bCs/>
          <w:color w:val="auto"/>
          <w:lang w:val="fr-FR"/>
        </w:rPr>
        <w:t xml:space="preserve">L’UAE est en charge du portail </w:t>
      </w:r>
      <w:r w:rsidR="00082F98">
        <w:rPr>
          <w:rFonts w:asciiTheme="minorHAnsi" w:hAnsiTheme="minorHAnsi" w:cstheme="minorHAnsi"/>
          <w:bCs/>
          <w:color w:val="auto"/>
          <w:lang w:val="fr-FR"/>
        </w:rPr>
        <w:t xml:space="preserve">national </w:t>
      </w:r>
      <w:r w:rsidRPr="007920A9">
        <w:rPr>
          <w:rFonts w:asciiTheme="minorHAnsi" w:hAnsiTheme="minorHAnsi" w:cstheme="minorHAnsi"/>
          <w:bCs/>
          <w:color w:val="auto"/>
          <w:lang w:val="fr-FR"/>
        </w:rPr>
        <w:t xml:space="preserve">de données actuel et a </w:t>
      </w:r>
      <w:r w:rsidR="006B5D45" w:rsidRPr="007920A9">
        <w:rPr>
          <w:rFonts w:asciiTheme="minorHAnsi" w:hAnsiTheme="minorHAnsi" w:cstheme="minorHAnsi"/>
          <w:bCs/>
          <w:color w:val="auto"/>
          <w:lang w:val="fr-FR"/>
        </w:rPr>
        <w:t>toutes les compétences nécessaires</w:t>
      </w:r>
      <w:r w:rsidRPr="007920A9">
        <w:rPr>
          <w:rFonts w:asciiTheme="minorHAnsi" w:hAnsiTheme="minorHAnsi" w:cstheme="minorHAnsi"/>
          <w:bCs/>
          <w:color w:val="auto"/>
          <w:lang w:val="fr-FR"/>
        </w:rPr>
        <w:t xml:space="preserve"> </w:t>
      </w:r>
      <w:r w:rsidR="005B2A37">
        <w:rPr>
          <w:rFonts w:asciiTheme="minorHAnsi" w:hAnsiTheme="minorHAnsi" w:cstheme="minorHAnsi"/>
          <w:bCs/>
          <w:color w:val="auto"/>
          <w:lang w:val="fr-FR"/>
        </w:rPr>
        <w:t>pour le gérer (</w:t>
      </w:r>
      <w:r w:rsidR="00641958">
        <w:rPr>
          <w:rFonts w:asciiTheme="minorHAnsi" w:hAnsiTheme="minorHAnsi" w:cstheme="minorHAnsi"/>
          <w:bCs/>
          <w:color w:val="auto"/>
          <w:lang w:val="fr-FR"/>
        </w:rPr>
        <w:t>solution eolas</w:t>
      </w:r>
      <w:r w:rsidR="00641958">
        <w:rPr>
          <w:rStyle w:val="Appelnotedebasdep"/>
          <w:rFonts w:asciiTheme="minorHAnsi" w:hAnsiTheme="minorHAnsi" w:cstheme="minorHAnsi"/>
          <w:bCs/>
          <w:color w:val="auto"/>
          <w:lang w:val="fr-FR"/>
        </w:rPr>
        <w:footnoteReference w:id="51"/>
      </w:r>
      <w:r w:rsidR="008A2E32">
        <w:rPr>
          <w:rFonts w:asciiTheme="minorHAnsi" w:hAnsiTheme="minorHAnsi" w:cstheme="minorHAnsi"/>
          <w:bCs/>
          <w:color w:val="auto"/>
          <w:lang w:val="fr-FR"/>
        </w:rPr>
        <w:t>)</w:t>
      </w:r>
    </w:p>
    <w:p w14:paraId="66F2B238" w14:textId="0AB5424F" w:rsidR="00201E72" w:rsidRPr="007920A9" w:rsidRDefault="006548BA" w:rsidP="008F3747">
      <w:pPr>
        <w:pStyle w:val="Default"/>
        <w:numPr>
          <w:ilvl w:val="0"/>
          <w:numId w:val="9"/>
        </w:numPr>
        <w:jc w:val="both"/>
        <w:rPr>
          <w:rFonts w:asciiTheme="minorHAnsi" w:hAnsiTheme="minorHAnsi"/>
          <w:bCs/>
          <w:color w:val="auto"/>
          <w:lang w:val="fr-FR"/>
        </w:rPr>
      </w:pPr>
      <w:r w:rsidRPr="007920A9">
        <w:rPr>
          <w:rFonts w:asciiTheme="minorHAnsi" w:hAnsiTheme="minorHAnsi"/>
          <w:bCs/>
          <w:color w:val="auto"/>
          <w:lang w:val="fr-FR"/>
        </w:rPr>
        <w:t>L’UAE est en charge du plan d’action du PGO ainsi que de la stratégie SmartGov 2020</w:t>
      </w:r>
    </w:p>
    <w:p w14:paraId="71FE38F7" w14:textId="72239768" w:rsidR="008B3687" w:rsidRPr="007920A9" w:rsidRDefault="006548BA" w:rsidP="008F3747">
      <w:pPr>
        <w:pStyle w:val="Default"/>
        <w:numPr>
          <w:ilvl w:val="0"/>
          <w:numId w:val="9"/>
        </w:numPr>
        <w:jc w:val="both"/>
        <w:rPr>
          <w:rFonts w:asciiTheme="minorHAnsi" w:hAnsiTheme="minorHAnsi"/>
          <w:bCs/>
          <w:color w:val="auto"/>
          <w:lang w:val="fr-FR"/>
        </w:rPr>
      </w:pPr>
      <w:r w:rsidRPr="007920A9">
        <w:rPr>
          <w:rFonts w:asciiTheme="minorHAnsi" w:hAnsiTheme="minorHAnsi"/>
          <w:bCs/>
          <w:color w:val="auto"/>
          <w:lang w:val="fr-FR"/>
        </w:rPr>
        <w:t>L’UAE est rattaché à la Présidence du Gouvernement en charge des initiatives inter-gouvernementales</w:t>
      </w:r>
    </w:p>
    <w:p w14:paraId="7E856BC9" w14:textId="4732717C" w:rsidR="006548BA" w:rsidRDefault="006548BA" w:rsidP="008F3747">
      <w:pPr>
        <w:pStyle w:val="Default"/>
        <w:numPr>
          <w:ilvl w:val="0"/>
          <w:numId w:val="9"/>
        </w:numPr>
        <w:jc w:val="both"/>
        <w:rPr>
          <w:rFonts w:asciiTheme="minorHAnsi" w:hAnsiTheme="minorHAnsi"/>
          <w:bCs/>
          <w:color w:val="auto"/>
          <w:lang w:val="fr-FR"/>
        </w:rPr>
      </w:pPr>
      <w:r w:rsidRPr="007920A9">
        <w:rPr>
          <w:rFonts w:asciiTheme="minorHAnsi" w:hAnsiTheme="minorHAnsi"/>
          <w:bCs/>
          <w:color w:val="auto"/>
          <w:lang w:val="fr-FR"/>
        </w:rPr>
        <w:t xml:space="preserve">Le Directeur </w:t>
      </w:r>
      <w:r w:rsidR="00641958">
        <w:rPr>
          <w:rFonts w:asciiTheme="minorHAnsi" w:hAnsiTheme="minorHAnsi"/>
          <w:bCs/>
          <w:color w:val="auto"/>
          <w:lang w:val="fr-FR"/>
        </w:rPr>
        <w:t xml:space="preserve">Général </w:t>
      </w:r>
      <w:r w:rsidRPr="007920A9">
        <w:rPr>
          <w:rFonts w:asciiTheme="minorHAnsi" w:hAnsiTheme="minorHAnsi"/>
          <w:bCs/>
          <w:color w:val="auto"/>
          <w:lang w:val="fr-FR"/>
        </w:rPr>
        <w:t>de l’UAE est également élu de l’Instance d’accès à l’information, et a L’INDPD</w:t>
      </w:r>
    </w:p>
    <w:p w14:paraId="08CAA970" w14:textId="6C4B77EE" w:rsidR="005B2A37" w:rsidRPr="00082F98" w:rsidRDefault="005B2A37" w:rsidP="008F3747">
      <w:pPr>
        <w:pStyle w:val="Default"/>
        <w:numPr>
          <w:ilvl w:val="0"/>
          <w:numId w:val="9"/>
        </w:numPr>
        <w:jc w:val="both"/>
        <w:rPr>
          <w:rFonts w:asciiTheme="minorHAnsi" w:hAnsiTheme="minorHAnsi"/>
          <w:bCs/>
          <w:color w:val="auto"/>
          <w:lang w:val="fr-FR"/>
        </w:rPr>
      </w:pPr>
      <w:r w:rsidRPr="00082F98">
        <w:rPr>
          <w:rFonts w:asciiTheme="minorHAnsi" w:hAnsiTheme="minorHAnsi"/>
          <w:bCs/>
          <w:color w:val="auto"/>
          <w:lang w:val="fr-FR"/>
        </w:rPr>
        <w:t xml:space="preserve">D’autres ressources techniques existent au sein du gouvernement. </w:t>
      </w:r>
      <w:r w:rsidR="006B5D45" w:rsidRPr="00082F98">
        <w:rPr>
          <w:rFonts w:asciiTheme="minorHAnsi" w:hAnsiTheme="minorHAnsi"/>
          <w:bCs/>
          <w:color w:val="auto"/>
          <w:lang w:val="fr-FR"/>
        </w:rPr>
        <w:t>Les équipes informatiques</w:t>
      </w:r>
      <w:r w:rsidRPr="00082F98">
        <w:rPr>
          <w:rFonts w:asciiTheme="minorHAnsi" w:hAnsiTheme="minorHAnsi"/>
          <w:bCs/>
          <w:color w:val="auto"/>
          <w:lang w:val="fr-FR"/>
        </w:rPr>
        <w:t xml:space="preserve"> notamment du Ministère de l’Intérieur (MINT), du </w:t>
      </w:r>
      <w:r w:rsidRPr="001B6DD5">
        <w:rPr>
          <w:rFonts w:ascii="Calibri" w:hAnsi="Calibri" w:cs="Calibri"/>
          <w:lang w:val="fr-FR"/>
        </w:rPr>
        <w:t>Ministère de</w:t>
      </w:r>
      <w:r w:rsidR="00082F98">
        <w:rPr>
          <w:rFonts w:ascii="Calibri" w:hAnsi="Calibri" w:cs="Calibri"/>
          <w:lang w:val="fr-FR"/>
        </w:rPr>
        <w:t>s Affaires Culturelles</w:t>
      </w:r>
      <w:r w:rsidRPr="001B6DD5">
        <w:rPr>
          <w:rFonts w:ascii="Calibri" w:hAnsi="Calibri" w:cs="Calibri"/>
          <w:lang w:val="fr-FR"/>
        </w:rPr>
        <w:t xml:space="preserve"> (MIC), du Ministère de l’Energie, des Mines et des Energies Renouvelables (MEMER) et du Ministère de l’Industrie et des PME (MIP)  ont développé leur propre portail Open Data et ont acquis une expertise technique et de l’expérience à la fois sur les plateformes (CKAN, DKAN) et sur les standards (DCAT, DCAT-AP).</w:t>
      </w:r>
    </w:p>
    <w:p w14:paraId="7D977283" w14:textId="77777777" w:rsidR="00FA1BB6" w:rsidRPr="007920A9" w:rsidRDefault="00FA1BB6" w:rsidP="00026C12">
      <w:pPr>
        <w:autoSpaceDE w:val="0"/>
        <w:autoSpaceDN w:val="0"/>
        <w:adjustRightInd w:val="0"/>
        <w:spacing w:after="0" w:line="240" w:lineRule="auto"/>
        <w:jc w:val="both"/>
        <w:rPr>
          <w:rFonts w:cs="Times New Roman"/>
          <w:b/>
          <w:sz w:val="24"/>
          <w:szCs w:val="24"/>
        </w:rPr>
      </w:pPr>
    </w:p>
    <w:p w14:paraId="36110E31" w14:textId="79A6015F" w:rsidR="00FA1BB6" w:rsidRPr="007920A9" w:rsidRDefault="004C2C41" w:rsidP="00026C12">
      <w:pPr>
        <w:jc w:val="both"/>
        <w:rPr>
          <w:b/>
          <w:bCs/>
          <w:sz w:val="24"/>
          <w:szCs w:val="24"/>
        </w:rPr>
      </w:pPr>
      <w:r w:rsidRPr="007920A9">
        <w:rPr>
          <w:b/>
          <w:bCs/>
          <w:sz w:val="24"/>
          <w:szCs w:val="24"/>
        </w:rPr>
        <w:t>3.2 Est-ce que les agences disposent d'un D</w:t>
      </w:r>
      <w:r w:rsidR="005761D2">
        <w:rPr>
          <w:b/>
          <w:bCs/>
          <w:sz w:val="24"/>
          <w:szCs w:val="24"/>
        </w:rPr>
        <w:t xml:space="preserve">irecteur des </w:t>
      </w:r>
      <w:r w:rsidRPr="007920A9">
        <w:rPr>
          <w:b/>
          <w:bCs/>
          <w:sz w:val="24"/>
          <w:szCs w:val="24"/>
        </w:rPr>
        <w:t>S</w:t>
      </w:r>
      <w:r w:rsidR="005761D2">
        <w:rPr>
          <w:b/>
          <w:bCs/>
          <w:sz w:val="24"/>
          <w:szCs w:val="24"/>
        </w:rPr>
        <w:t>ystème</w:t>
      </w:r>
      <w:r w:rsidR="0059158A">
        <w:rPr>
          <w:b/>
          <w:bCs/>
          <w:sz w:val="24"/>
          <w:szCs w:val="24"/>
        </w:rPr>
        <w:t>s</w:t>
      </w:r>
      <w:r w:rsidR="005761D2">
        <w:rPr>
          <w:b/>
          <w:bCs/>
          <w:sz w:val="24"/>
          <w:szCs w:val="24"/>
        </w:rPr>
        <w:t xml:space="preserve"> d’information</w:t>
      </w:r>
      <w:r w:rsidRPr="007920A9">
        <w:rPr>
          <w:b/>
          <w:bCs/>
          <w:sz w:val="24"/>
          <w:szCs w:val="24"/>
        </w:rPr>
        <w:t xml:space="preserve">, </w:t>
      </w:r>
      <w:r w:rsidR="005761D2">
        <w:rPr>
          <w:b/>
          <w:bCs/>
          <w:sz w:val="24"/>
          <w:szCs w:val="24"/>
        </w:rPr>
        <w:t xml:space="preserve">d’un Directeur </w:t>
      </w:r>
      <w:r w:rsidRPr="007920A9">
        <w:rPr>
          <w:b/>
          <w:bCs/>
          <w:sz w:val="24"/>
          <w:szCs w:val="24"/>
        </w:rPr>
        <w:t>T</w:t>
      </w:r>
      <w:r w:rsidR="005761D2">
        <w:rPr>
          <w:b/>
          <w:bCs/>
          <w:sz w:val="24"/>
          <w:szCs w:val="24"/>
        </w:rPr>
        <w:t>echnique</w:t>
      </w:r>
      <w:r w:rsidRPr="007920A9">
        <w:rPr>
          <w:b/>
          <w:bCs/>
          <w:sz w:val="24"/>
          <w:szCs w:val="24"/>
        </w:rPr>
        <w:t xml:space="preserve"> ou de postes officiels permanents dédiés à la gestion de données ? (Importance: Élevée /Moyenne) </w:t>
      </w:r>
      <w:r w:rsidR="00731631" w:rsidRPr="00731631">
        <w:rPr>
          <w:b/>
          <w:bCs/>
          <w:sz w:val="24"/>
          <w:szCs w:val="24"/>
          <w:highlight w:val="yellow"/>
        </w:rPr>
        <w:t>JAUNE</w:t>
      </w:r>
    </w:p>
    <w:p w14:paraId="69CE1E9E" w14:textId="69F005FE" w:rsidR="006548BA" w:rsidRDefault="006548BA" w:rsidP="001C539E">
      <w:pPr>
        <w:pStyle w:val="Paragraphedeliste"/>
        <w:numPr>
          <w:ilvl w:val="0"/>
          <w:numId w:val="34"/>
        </w:numPr>
        <w:jc w:val="both"/>
        <w:rPr>
          <w:bCs/>
          <w:sz w:val="24"/>
          <w:szCs w:val="24"/>
        </w:rPr>
      </w:pPr>
      <w:r w:rsidRPr="007920A9">
        <w:rPr>
          <w:bCs/>
          <w:sz w:val="24"/>
          <w:szCs w:val="24"/>
        </w:rPr>
        <w:t xml:space="preserve">Chaque </w:t>
      </w:r>
      <w:r w:rsidR="00641958">
        <w:rPr>
          <w:bCs/>
          <w:sz w:val="24"/>
          <w:szCs w:val="24"/>
        </w:rPr>
        <w:t xml:space="preserve">organisme public </w:t>
      </w:r>
      <w:r w:rsidRPr="007920A9">
        <w:rPr>
          <w:bCs/>
          <w:sz w:val="24"/>
          <w:szCs w:val="24"/>
        </w:rPr>
        <w:t xml:space="preserve">et ministère dispose d’un chargé d’accès à l’information pour l’implémentation du </w:t>
      </w:r>
      <w:r w:rsidR="005B2A37">
        <w:rPr>
          <w:bCs/>
          <w:sz w:val="24"/>
          <w:szCs w:val="24"/>
        </w:rPr>
        <w:t>droit d’accès à l’information,</w:t>
      </w:r>
      <w:r w:rsidRPr="007920A9">
        <w:rPr>
          <w:bCs/>
          <w:sz w:val="24"/>
          <w:szCs w:val="24"/>
        </w:rPr>
        <w:t xml:space="preserve"> d’un point focal E-gov</w:t>
      </w:r>
      <w:r w:rsidR="000853E1">
        <w:rPr>
          <w:bCs/>
          <w:sz w:val="24"/>
          <w:szCs w:val="24"/>
        </w:rPr>
        <w:t>, et d’un chargé Open Data. Ces trois fonctions sont soit séparées soit affectées à la même personne</w:t>
      </w:r>
    </w:p>
    <w:p w14:paraId="362D24F8" w14:textId="22417B72" w:rsidR="00C96685" w:rsidRDefault="00C96685" w:rsidP="001C539E">
      <w:pPr>
        <w:pStyle w:val="Paragraphedeliste"/>
        <w:numPr>
          <w:ilvl w:val="0"/>
          <w:numId w:val="34"/>
        </w:numPr>
        <w:jc w:val="both"/>
        <w:rPr>
          <w:bCs/>
          <w:sz w:val="24"/>
          <w:szCs w:val="24"/>
        </w:rPr>
      </w:pPr>
      <w:r>
        <w:rPr>
          <w:bCs/>
          <w:sz w:val="24"/>
          <w:szCs w:val="24"/>
        </w:rPr>
        <w:t xml:space="preserve">Tous les ministères et </w:t>
      </w:r>
      <w:r w:rsidR="00641958">
        <w:rPr>
          <w:bCs/>
          <w:sz w:val="24"/>
          <w:szCs w:val="24"/>
        </w:rPr>
        <w:t>organismes publics</w:t>
      </w:r>
      <w:r w:rsidR="00641958" w:rsidDel="00641958">
        <w:rPr>
          <w:bCs/>
          <w:sz w:val="24"/>
          <w:szCs w:val="24"/>
        </w:rPr>
        <w:t xml:space="preserve"> </w:t>
      </w:r>
      <w:r>
        <w:rPr>
          <w:bCs/>
          <w:sz w:val="24"/>
          <w:szCs w:val="24"/>
        </w:rPr>
        <w:t xml:space="preserve">rencontrés ont un service informatique dont le responsable est bien au fait des SI et </w:t>
      </w:r>
      <w:r w:rsidR="006B5D45">
        <w:rPr>
          <w:bCs/>
          <w:sz w:val="24"/>
          <w:szCs w:val="24"/>
        </w:rPr>
        <w:t>des bases</w:t>
      </w:r>
      <w:r>
        <w:rPr>
          <w:bCs/>
          <w:sz w:val="24"/>
          <w:szCs w:val="24"/>
        </w:rPr>
        <w:t xml:space="preserve"> de données (BDD) existantes au sein de la structure</w:t>
      </w:r>
    </w:p>
    <w:p w14:paraId="1AAD96EA" w14:textId="63F96BA1" w:rsidR="00C96685" w:rsidRPr="00C96685" w:rsidRDefault="00C96685" w:rsidP="00D5699E">
      <w:pPr>
        <w:pStyle w:val="Paragraphedeliste"/>
        <w:numPr>
          <w:ilvl w:val="0"/>
          <w:numId w:val="61"/>
        </w:numPr>
        <w:rPr>
          <w:bCs/>
          <w:sz w:val="24"/>
          <w:szCs w:val="24"/>
        </w:rPr>
      </w:pPr>
      <w:r w:rsidRPr="00C96685">
        <w:rPr>
          <w:bCs/>
          <w:sz w:val="24"/>
          <w:szCs w:val="24"/>
        </w:rPr>
        <w:t>Il n’existe pas de poste de DSI au sein des structures rencontrées</w:t>
      </w:r>
    </w:p>
    <w:p w14:paraId="63E0792B" w14:textId="45299363" w:rsidR="000853E1" w:rsidRPr="008A2E32" w:rsidRDefault="000853E1" w:rsidP="008A2E32">
      <w:pPr>
        <w:pStyle w:val="Paragraphedeliste"/>
        <w:numPr>
          <w:ilvl w:val="0"/>
          <w:numId w:val="126"/>
        </w:numPr>
        <w:jc w:val="both"/>
        <w:rPr>
          <w:bCs/>
          <w:sz w:val="24"/>
          <w:szCs w:val="24"/>
        </w:rPr>
      </w:pPr>
      <w:r w:rsidRPr="008A2E32">
        <w:rPr>
          <w:bCs/>
          <w:sz w:val="24"/>
          <w:szCs w:val="24"/>
        </w:rPr>
        <w:t>Les profils de ces différents points focaux son</w:t>
      </w:r>
      <w:r w:rsidR="006B5D45" w:rsidRPr="008A2E32">
        <w:rPr>
          <w:bCs/>
          <w:sz w:val="24"/>
          <w:szCs w:val="24"/>
        </w:rPr>
        <w:t>t très variables, certains sont issus</w:t>
      </w:r>
      <w:r w:rsidRPr="008A2E32">
        <w:rPr>
          <w:bCs/>
          <w:sz w:val="24"/>
          <w:szCs w:val="24"/>
        </w:rPr>
        <w:t xml:space="preserve"> du service informatique, d’autres </w:t>
      </w:r>
      <w:r w:rsidR="006B5D45" w:rsidRPr="008A2E32">
        <w:rPr>
          <w:bCs/>
          <w:sz w:val="24"/>
          <w:szCs w:val="24"/>
        </w:rPr>
        <w:t>ont</w:t>
      </w:r>
      <w:r w:rsidRPr="008A2E32">
        <w:rPr>
          <w:bCs/>
          <w:sz w:val="24"/>
          <w:szCs w:val="24"/>
        </w:rPr>
        <w:t xml:space="preserve"> un profil de type archiviste</w:t>
      </w:r>
      <w:r w:rsidR="00641958" w:rsidRPr="008A2E32">
        <w:rPr>
          <w:bCs/>
          <w:sz w:val="24"/>
          <w:szCs w:val="24"/>
        </w:rPr>
        <w:t>. Certains sont affectés au bureau de relation avec le citoyen</w:t>
      </w:r>
    </w:p>
    <w:p w14:paraId="1E289C3D" w14:textId="77777777" w:rsidR="000853E1" w:rsidRDefault="000853E1" w:rsidP="00D5699E">
      <w:pPr>
        <w:pStyle w:val="Paragraphedeliste"/>
        <w:numPr>
          <w:ilvl w:val="0"/>
          <w:numId w:val="61"/>
        </w:numPr>
        <w:jc w:val="both"/>
        <w:rPr>
          <w:bCs/>
          <w:sz w:val="24"/>
          <w:szCs w:val="24"/>
        </w:rPr>
      </w:pPr>
      <w:r>
        <w:rPr>
          <w:bCs/>
          <w:sz w:val="24"/>
          <w:szCs w:val="24"/>
        </w:rPr>
        <w:t>La plupart des points focaux rencontrés ne maitrise pas l’Open Data et n’ont pas un rôle pro-actif concernant l’ouverture de données</w:t>
      </w:r>
    </w:p>
    <w:p w14:paraId="1F2ADBB7" w14:textId="2BFF8D54" w:rsidR="000853E1" w:rsidRDefault="000853E1" w:rsidP="001C539E">
      <w:pPr>
        <w:pStyle w:val="Paragraphedeliste"/>
        <w:numPr>
          <w:ilvl w:val="0"/>
          <w:numId w:val="34"/>
        </w:numPr>
        <w:jc w:val="both"/>
        <w:rPr>
          <w:bCs/>
          <w:sz w:val="24"/>
          <w:szCs w:val="24"/>
        </w:rPr>
      </w:pPr>
      <w:r>
        <w:rPr>
          <w:bCs/>
          <w:sz w:val="24"/>
          <w:szCs w:val="24"/>
        </w:rPr>
        <w:t>Beaucoup de ministères rencontrés sont en cours de déploiement de SI, et pour certain de portail Open Data (MALE, MIT)</w:t>
      </w:r>
    </w:p>
    <w:p w14:paraId="5FD04637" w14:textId="11570AE5" w:rsidR="000853E1" w:rsidRPr="007920A9" w:rsidRDefault="000853E1" w:rsidP="00D5699E">
      <w:pPr>
        <w:pStyle w:val="Paragraphedeliste"/>
        <w:numPr>
          <w:ilvl w:val="0"/>
          <w:numId w:val="62"/>
        </w:numPr>
        <w:jc w:val="both"/>
        <w:rPr>
          <w:bCs/>
          <w:sz w:val="24"/>
          <w:szCs w:val="24"/>
        </w:rPr>
      </w:pPr>
      <w:r>
        <w:rPr>
          <w:bCs/>
          <w:sz w:val="24"/>
          <w:szCs w:val="24"/>
        </w:rPr>
        <w:t>Des discussions organisées par le MTCEN ont eu lieu pour la création d’un poste de DSI au niveau national, mais l’idée a été abandonnée. Le MTCEN explore aujourd’hui la mise en place d’une structure spécifique qui aurait cette fonction et qui serait la structure de tutelle des services informatiques, mais ces discussions ne sont pas du tout avancées.</w:t>
      </w:r>
    </w:p>
    <w:p w14:paraId="5E44D883" w14:textId="0B301E3C" w:rsidR="00FA1BB6" w:rsidRPr="007920A9" w:rsidRDefault="004C2C41" w:rsidP="00026C12">
      <w:pPr>
        <w:jc w:val="both"/>
        <w:rPr>
          <w:b/>
          <w:bCs/>
          <w:sz w:val="24"/>
          <w:szCs w:val="24"/>
        </w:rPr>
      </w:pPr>
      <w:r w:rsidRPr="007920A9">
        <w:rPr>
          <w:b/>
          <w:bCs/>
          <w:sz w:val="24"/>
          <w:szCs w:val="24"/>
        </w:rPr>
        <w:t>3.3 Existe-t-il des mécanismes interinstitutionnels de coordination sur les questions relatives aux TIC (par exemple pour les questions techniques) ? (Importance: Moyenne- Élevée)</w:t>
      </w:r>
      <w:r w:rsidR="00201E72" w:rsidRPr="007920A9">
        <w:rPr>
          <w:b/>
          <w:bCs/>
          <w:sz w:val="24"/>
          <w:szCs w:val="24"/>
        </w:rPr>
        <w:t xml:space="preserve"> </w:t>
      </w:r>
      <w:r w:rsidR="00DF7BDB" w:rsidRPr="00DF7BDB">
        <w:rPr>
          <w:b/>
          <w:bCs/>
          <w:sz w:val="24"/>
          <w:szCs w:val="24"/>
          <w:highlight w:val="yellow"/>
        </w:rPr>
        <w:t>JAUNE</w:t>
      </w:r>
      <w:r w:rsidR="00C96685">
        <w:rPr>
          <w:b/>
          <w:bCs/>
          <w:sz w:val="24"/>
          <w:szCs w:val="24"/>
        </w:rPr>
        <w:t>/</w:t>
      </w:r>
      <w:r w:rsidR="00C96685" w:rsidRPr="00C96685">
        <w:rPr>
          <w:b/>
          <w:bCs/>
          <w:sz w:val="24"/>
          <w:szCs w:val="24"/>
          <w:highlight w:val="green"/>
        </w:rPr>
        <w:t>VERT</w:t>
      </w:r>
    </w:p>
    <w:p w14:paraId="4ACDD0CF" w14:textId="2644CE83" w:rsidR="00201E72" w:rsidRPr="00DF7BDB" w:rsidRDefault="003461A7" w:rsidP="001C539E">
      <w:pPr>
        <w:pStyle w:val="Paragraphedeliste"/>
        <w:numPr>
          <w:ilvl w:val="0"/>
          <w:numId w:val="34"/>
        </w:numPr>
        <w:jc w:val="both"/>
        <w:rPr>
          <w:bCs/>
          <w:sz w:val="24"/>
          <w:szCs w:val="24"/>
        </w:rPr>
      </w:pPr>
      <w:r w:rsidRPr="007920A9">
        <w:rPr>
          <w:bCs/>
          <w:sz w:val="24"/>
          <w:szCs w:val="24"/>
        </w:rPr>
        <w:t xml:space="preserve">L’UAE </w:t>
      </w:r>
      <w:r w:rsidR="00201E72" w:rsidRPr="007920A9">
        <w:rPr>
          <w:bCs/>
          <w:sz w:val="24"/>
          <w:szCs w:val="24"/>
        </w:rPr>
        <w:t xml:space="preserve">dispose d’un ensemble de points focaux dans les diverses agences pour coordonner les activités liées </w:t>
      </w:r>
      <w:r w:rsidRPr="007920A9">
        <w:rPr>
          <w:bCs/>
          <w:sz w:val="24"/>
          <w:szCs w:val="24"/>
        </w:rPr>
        <w:t xml:space="preserve">à l’administration </w:t>
      </w:r>
      <w:r w:rsidRPr="00434C9D">
        <w:rPr>
          <w:bCs/>
          <w:sz w:val="24"/>
          <w:szCs w:val="24"/>
        </w:rPr>
        <w:t>électronique</w:t>
      </w:r>
      <w:r w:rsidR="00DF7BDB" w:rsidRPr="00434C9D">
        <w:rPr>
          <w:rFonts w:cstheme="minorHAnsi"/>
          <w:sz w:val="24"/>
          <w:szCs w:val="24"/>
        </w:rPr>
        <w:t xml:space="preserve"> et à l’Open Data</w:t>
      </w:r>
    </w:p>
    <w:p w14:paraId="3098D463" w14:textId="27158982" w:rsidR="00DF7BDB" w:rsidRDefault="00DF7BDB" w:rsidP="00D5699E">
      <w:pPr>
        <w:pStyle w:val="Paragraphedeliste"/>
        <w:numPr>
          <w:ilvl w:val="0"/>
          <w:numId w:val="63"/>
        </w:numPr>
        <w:jc w:val="both"/>
        <w:rPr>
          <w:bCs/>
          <w:sz w:val="24"/>
          <w:szCs w:val="24"/>
        </w:rPr>
      </w:pPr>
      <w:r>
        <w:rPr>
          <w:bCs/>
          <w:sz w:val="24"/>
          <w:szCs w:val="24"/>
        </w:rPr>
        <w:t xml:space="preserve">Ces points focaux ont uniquement comme rôle de relayer </w:t>
      </w:r>
      <w:r w:rsidR="006B5D45">
        <w:rPr>
          <w:bCs/>
          <w:sz w:val="24"/>
          <w:szCs w:val="24"/>
        </w:rPr>
        <w:t>les demandes</w:t>
      </w:r>
      <w:r>
        <w:rPr>
          <w:bCs/>
          <w:sz w:val="24"/>
          <w:szCs w:val="24"/>
        </w:rPr>
        <w:t xml:space="preserve"> de l’UAE et non pas de rôle fonctionnel dans leur structure</w:t>
      </w:r>
    </w:p>
    <w:p w14:paraId="43104F77" w14:textId="52CCD50D" w:rsidR="00DF7BDB" w:rsidRDefault="00DF7BDB" w:rsidP="00D5699E">
      <w:pPr>
        <w:pStyle w:val="Paragraphedeliste"/>
        <w:numPr>
          <w:ilvl w:val="0"/>
          <w:numId w:val="63"/>
        </w:numPr>
        <w:jc w:val="both"/>
        <w:rPr>
          <w:bCs/>
          <w:sz w:val="24"/>
          <w:szCs w:val="24"/>
        </w:rPr>
      </w:pPr>
      <w:r>
        <w:rPr>
          <w:bCs/>
          <w:sz w:val="24"/>
          <w:szCs w:val="24"/>
        </w:rPr>
        <w:t>Le MTCEN n’a pas de rôle transversal officiel et n’est pas en charge de coordonner les aspect</w:t>
      </w:r>
      <w:r w:rsidR="00641958">
        <w:rPr>
          <w:bCs/>
          <w:sz w:val="24"/>
          <w:szCs w:val="24"/>
        </w:rPr>
        <w:t>s</w:t>
      </w:r>
      <w:r>
        <w:rPr>
          <w:bCs/>
          <w:sz w:val="24"/>
          <w:szCs w:val="24"/>
        </w:rPr>
        <w:t xml:space="preserve"> TIC</w:t>
      </w:r>
    </w:p>
    <w:p w14:paraId="04686B63" w14:textId="2B7A4930" w:rsidR="00DF7BDB" w:rsidRDefault="00DF7BDB" w:rsidP="001C539E">
      <w:pPr>
        <w:pStyle w:val="Paragraphedeliste"/>
        <w:numPr>
          <w:ilvl w:val="0"/>
          <w:numId w:val="34"/>
        </w:numPr>
        <w:jc w:val="both"/>
        <w:rPr>
          <w:bCs/>
          <w:sz w:val="24"/>
          <w:szCs w:val="24"/>
        </w:rPr>
      </w:pPr>
      <w:r>
        <w:rPr>
          <w:bCs/>
          <w:sz w:val="24"/>
          <w:szCs w:val="24"/>
        </w:rPr>
        <w:t>Le MTCEN ainsi que les structures sous sa tutelle (e.g. l’ANSI) a un rôle de conseil et d’appui technique et fournit des recommandations et des bonnes pratiques sur les sujets touchant aux TIC</w:t>
      </w:r>
    </w:p>
    <w:p w14:paraId="629C1E25" w14:textId="4C949DEE" w:rsidR="00DF7BDB" w:rsidRDefault="00DF7BDB" w:rsidP="001C539E">
      <w:pPr>
        <w:pStyle w:val="Paragraphedeliste"/>
        <w:numPr>
          <w:ilvl w:val="0"/>
          <w:numId w:val="34"/>
        </w:numPr>
        <w:jc w:val="both"/>
        <w:rPr>
          <w:bCs/>
          <w:sz w:val="24"/>
          <w:szCs w:val="24"/>
        </w:rPr>
      </w:pPr>
      <w:r>
        <w:rPr>
          <w:bCs/>
          <w:sz w:val="24"/>
          <w:szCs w:val="24"/>
        </w:rPr>
        <w:t xml:space="preserve">Sur tous les grands projets TIC nationaux, le Gouvernement travaille naturellement de </w:t>
      </w:r>
      <w:r w:rsidR="006B5D45">
        <w:rPr>
          <w:bCs/>
          <w:sz w:val="24"/>
          <w:szCs w:val="24"/>
        </w:rPr>
        <w:t>façon transversale</w:t>
      </w:r>
      <w:r>
        <w:rPr>
          <w:bCs/>
          <w:sz w:val="24"/>
          <w:szCs w:val="24"/>
        </w:rPr>
        <w:t xml:space="preserve"> avec la mise en place de comité</w:t>
      </w:r>
      <w:r w:rsidR="00641958">
        <w:rPr>
          <w:bCs/>
          <w:sz w:val="24"/>
          <w:szCs w:val="24"/>
        </w:rPr>
        <w:t>s</w:t>
      </w:r>
      <w:r>
        <w:rPr>
          <w:bCs/>
          <w:sz w:val="24"/>
          <w:szCs w:val="24"/>
        </w:rPr>
        <w:t xml:space="preserve"> de pilotage qui assure</w:t>
      </w:r>
      <w:r w:rsidR="00641958">
        <w:rPr>
          <w:bCs/>
          <w:sz w:val="24"/>
          <w:szCs w:val="24"/>
        </w:rPr>
        <w:t>nt</w:t>
      </w:r>
      <w:r>
        <w:rPr>
          <w:bCs/>
          <w:sz w:val="24"/>
          <w:szCs w:val="24"/>
        </w:rPr>
        <w:t xml:space="preserve"> la coordination</w:t>
      </w:r>
    </w:p>
    <w:p w14:paraId="216DB2CC" w14:textId="42337E9F" w:rsidR="00DF7BDB" w:rsidRDefault="00DF7BDB" w:rsidP="001C539E">
      <w:pPr>
        <w:pStyle w:val="Paragraphedeliste"/>
        <w:numPr>
          <w:ilvl w:val="0"/>
          <w:numId w:val="34"/>
        </w:numPr>
        <w:jc w:val="both"/>
        <w:rPr>
          <w:bCs/>
          <w:sz w:val="24"/>
          <w:szCs w:val="24"/>
        </w:rPr>
      </w:pPr>
      <w:r>
        <w:rPr>
          <w:bCs/>
          <w:sz w:val="24"/>
          <w:szCs w:val="24"/>
        </w:rPr>
        <w:t>Le comité de pilotage de l’implémentation du plan OGP, dirigé par l’UAE, coordonne e</w:t>
      </w:r>
      <w:r w:rsidR="00C96685">
        <w:rPr>
          <w:bCs/>
          <w:sz w:val="24"/>
          <w:szCs w:val="24"/>
        </w:rPr>
        <w:t>t</w:t>
      </w:r>
      <w:r>
        <w:rPr>
          <w:bCs/>
          <w:sz w:val="24"/>
          <w:szCs w:val="24"/>
        </w:rPr>
        <w:t xml:space="preserve"> suit les engagements dans les ministères concernés</w:t>
      </w:r>
    </w:p>
    <w:p w14:paraId="4C8D6DC2" w14:textId="164AA5F6" w:rsidR="00C96685" w:rsidRPr="007920A9" w:rsidRDefault="00C96685" w:rsidP="001C539E">
      <w:pPr>
        <w:pStyle w:val="Paragraphedeliste"/>
        <w:numPr>
          <w:ilvl w:val="0"/>
          <w:numId w:val="34"/>
        </w:numPr>
        <w:jc w:val="both"/>
        <w:rPr>
          <w:bCs/>
          <w:sz w:val="24"/>
          <w:szCs w:val="24"/>
        </w:rPr>
      </w:pPr>
      <w:r>
        <w:rPr>
          <w:bCs/>
          <w:sz w:val="24"/>
          <w:szCs w:val="24"/>
        </w:rPr>
        <w:t>Les ministères rencontrés ayant des engagements dans le plan OGP en termes d’ouverture de données semble très impliqués dans la réalisation de leurs engagements, montrant l’efficacité du comité de pilotage et le leadership de l’UAE en charge de ce plan.</w:t>
      </w:r>
    </w:p>
    <w:p w14:paraId="1CA756B7" w14:textId="57D2AC72" w:rsidR="004C2C41" w:rsidRPr="007920A9" w:rsidRDefault="004C2C41" w:rsidP="00026C12">
      <w:pPr>
        <w:jc w:val="both"/>
        <w:rPr>
          <w:b/>
          <w:bCs/>
          <w:sz w:val="24"/>
          <w:szCs w:val="24"/>
        </w:rPr>
      </w:pPr>
      <w:r w:rsidRPr="007920A9">
        <w:rPr>
          <w:b/>
          <w:bCs/>
          <w:sz w:val="24"/>
          <w:szCs w:val="24"/>
        </w:rPr>
        <w:t>3.4 Existe-il un processus actuellement utilisé pour mesurer la performance des agences ou la qualité de la prestation de services ? (Importance : Moyenne)</w:t>
      </w:r>
      <w:r w:rsidR="00201E72" w:rsidRPr="007920A9">
        <w:rPr>
          <w:b/>
          <w:bCs/>
          <w:sz w:val="24"/>
          <w:szCs w:val="24"/>
        </w:rPr>
        <w:t xml:space="preserve"> </w:t>
      </w:r>
      <w:r w:rsidR="00DF7BDB" w:rsidRPr="00DF7BDB">
        <w:rPr>
          <w:b/>
          <w:bCs/>
          <w:sz w:val="24"/>
          <w:szCs w:val="24"/>
          <w:highlight w:val="yellow"/>
        </w:rPr>
        <w:t>JAUNE</w:t>
      </w:r>
    </w:p>
    <w:p w14:paraId="4A740B3B" w14:textId="5727920B" w:rsidR="003461A7" w:rsidRPr="007920A9" w:rsidRDefault="003461A7" w:rsidP="001C539E">
      <w:pPr>
        <w:pStyle w:val="Paragraphedeliste"/>
        <w:numPr>
          <w:ilvl w:val="0"/>
          <w:numId w:val="35"/>
        </w:numPr>
        <w:jc w:val="both"/>
        <w:rPr>
          <w:bCs/>
          <w:sz w:val="24"/>
          <w:szCs w:val="24"/>
        </w:rPr>
      </w:pPr>
      <w:r w:rsidRPr="007920A9">
        <w:rPr>
          <w:bCs/>
          <w:sz w:val="24"/>
          <w:szCs w:val="24"/>
        </w:rPr>
        <w:t>La DGRP</w:t>
      </w:r>
      <w:r w:rsidR="00DF7BDB">
        <w:rPr>
          <w:bCs/>
          <w:sz w:val="24"/>
          <w:szCs w:val="24"/>
        </w:rPr>
        <w:t>A</w:t>
      </w:r>
      <w:r w:rsidRPr="007920A9">
        <w:rPr>
          <w:bCs/>
          <w:sz w:val="24"/>
          <w:szCs w:val="24"/>
        </w:rPr>
        <w:t xml:space="preserve"> est en charge du programme de réforme de l’administration</w:t>
      </w:r>
    </w:p>
    <w:p w14:paraId="4E297882" w14:textId="5BB6B922" w:rsidR="003461A7" w:rsidRDefault="003461A7" w:rsidP="001C539E">
      <w:pPr>
        <w:pStyle w:val="Paragraphedeliste"/>
        <w:numPr>
          <w:ilvl w:val="0"/>
          <w:numId w:val="35"/>
        </w:numPr>
        <w:jc w:val="both"/>
        <w:rPr>
          <w:bCs/>
          <w:sz w:val="24"/>
          <w:szCs w:val="24"/>
        </w:rPr>
      </w:pPr>
      <w:r w:rsidRPr="007920A9">
        <w:rPr>
          <w:bCs/>
          <w:sz w:val="24"/>
          <w:szCs w:val="24"/>
        </w:rPr>
        <w:t xml:space="preserve">Le plan SmartGov 2020 inclue une </w:t>
      </w:r>
      <w:r w:rsidR="00055D5E" w:rsidRPr="007920A9">
        <w:rPr>
          <w:bCs/>
          <w:sz w:val="24"/>
          <w:szCs w:val="24"/>
        </w:rPr>
        <w:t>amélioration</w:t>
      </w:r>
      <w:r w:rsidRPr="007920A9">
        <w:rPr>
          <w:bCs/>
          <w:sz w:val="24"/>
          <w:szCs w:val="24"/>
        </w:rPr>
        <w:t xml:space="preserve"> des performances </w:t>
      </w:r>
      <w:r w:rsidR="00055D5E" w:rsidRPr="007920A9">
        <w:rPr>
          <w:bCs/>
          <w:sz w:val="24"/>
          <w:szCs w:val="24"/>
        </w:rPr>
        <w:t xml:space="preserve">et une modernisation </w:t>
      </w:r>
      <w:r w:rsidRPr="007920A9">
        <w:rPr>
          <w:bCs/>
          <w:sz w:val="24"/>
          <w:szCs w:val="24"/>
        </w:rPr>
        <w:t>de l’</w:t>
      </w:r>
      <w:r w:rsidR="0059158A" w:rsidRPr="007920A9">
        <w:rPr>
          <w:bCs/>
          <w:sz w:val="24"/>
          <w:szCs w:val="24"/>
        </w:rPr>
        <w:t>administration</w:t>
      </w:r>
    </w:p>
    <w:p w14:paraId="68603242" w14:textId="71434686" w:rsidR="00DF7BDB" w:rsidRPr="00DF7BDB" w:rsidRDefault="00DF7BDB" w:rsidP="00D5699E">
      <w:pPr>
        <w:pStyle w:val="Paragraphedeliste"/>
        <w:numPr>
          <w:ilvl w:val="0"/>
          <w:numId w:val="64"/>
        </w:numPr>
        <w:jc w:val="both"/>
        <w:rPr>
          <w:bCs/>
          <w:sz w:val="24"/>
          <w:szCs w:val="24"/>
        </w:rPr>
      </w:pPr>
      <w:r>
        <w:rPr>
          <w:bCs/>
          <w:sz w:val="24"/>
          <w:szCs w:val="24"/>
        </w:rPr>
        <w:t>Il n’y pas de mécanisme identifié pour mesurer la performance des agences et la qualité de la prestation de service</w:t>
      </w:r>
    </w:p>
    <w:p w14:paraId="0FC78142" w14:textId="1E598E3D" w:rsidR="00DF7BDB" w:rsidRDefault="00DF7BDB" w:rsidP="001C539E">
      <w:pPr>
        <w:pStyle w:val="Paragraphedeliste"/>
        <w:numPr>
          <w:ilvl w:val="0"/>
          <w:numId w:val="35"/>
        </w:numPr>
        <w:jc w:val="both"/>
        <w:rPr>
          <w:bCs/>
          <w:sz w:val="24"/>
          <w:szCs w:val="24"/>
        </w:rPr>
      </w:pPr>
      <w:r>
        <w:rPr>
          <w:bCs/>
          <w:sz w:val="24"/>
          <w:szCs w:val="24"/>
        </w:rPr>
        <w:t xml:space="preserve">La DGRPA projette de mettre en place un tableau de bord concernant la perception des usagers sur la qualité de service. </w:t>
      </w:r>
    </w:p>
    <w:p w14:paraId="6CB27E1E" w14:textId="277994E3" w:rsidR="00DF7BDB" w:rsidRDefault="00DF7BDB" w:rsidP="00D5699E">
      <w:pPr>
        <w:pStyle w:val="Paragraphedeliste"/>
        <w:numPr>
          <w:ilvl w:val="0"/>
          <w:numId w:val="65"/>
        </w:numPr>
        <w:jc w:val="both"/>
        <w:rPr>
          <w:bCs/>
          <w:sz w:val="24"/>
          <w:szCs w:val="24"/>
        </w:rPr>
      </w:pPr>
      <w:r>
        <w:rPr>
          <w:bCs/>
          <w:sz w:val="24"/>
          <w:szCs w:val="24"/>
        </w:rPr>
        <w:t>Ce projet de tableau de bord n’existe qu’au niveau conceptuel actuellement</w:t>
      </w:r>
    </w:p>
    <w:p w14:paraId="7E51872D" w14:textId="12229F23" w:rsidR="00C96685" w:rsidRDefault="00C96685" w:rsidP="00D5699E">
      <w:pPr>
        <w:pStyle w:val="Paragraphedeliste"/>
        <w:numPr>
          <w:ilvl w:val="0"/>
          <w:numId w:val="85"/>
        </w:numPr>
        <w:jc w:val="both"/>
        <w:rPr>
          <w:bCs/>
          <w:sz w:val="24"/>
          <w:szCs w:val="24"/>
        </w:rPr>
      </w:pPr>
      <w:r>
        <w:rPr>
          <w:bCs/>
          <w:sz w:val="24"/>
          <w:szCs w:val="24"/>
        </w:rPr>
        <w:t xml:space="preserve">La plupart des ministères héberge sous leur tutelle un ou </w:t>
      </w:r>
      <w:r w:rsidR="006B5D45">
        <w:rPr>
          <w:bCs/>
          <w:sz w:val="24"/>
          <w:szCs w:val="24"/>
        </w:rPr>
        <w:t>plusieurs observatoires</w:t>
      </w:r>
      <w:r>
        <w:rPr>
          <w:bCs/>
          <w:sz w:val="24"/>
          <w:szCs w:val="24"/>
        </w:rPr>
        <w:t xml:space="preserve"> maintenant des indicateurs sur </w:t>
      </w:r>
      <w:r w:rsidR="009E3EC3">
        <w:rPr>
          <w:bCs/>
          <w:sz w:val="24"/>
          <w:szCs w:val="24"/>
        </w:rPr>
        <w:t>leurs domaine</w:t>
      </w:r>
      <w:r w:rsidR="00641958">
        <w:rPr>
          <w:bCs/>
          <w:sz w:val="24"/>
          <w:szCs w:val="24"/>
        </w:rPr>
        <w:t>s</w:t>
      </w:r>
      <w:r w:rsidR="009E3EC3">
        <w:rPr>
          <w:bCs/>
          <w:sz w:val="24"/>
          <w:szCs w:val="24"/>
        </w:rPr>
        <w:t xml:space="preserve"> de compétence</w:t>
      </w:r>
    </w:p>
    <w:p w14:paraId="55035834" w14:textId="70F2FCDB" w:rsidR="007F4A32" w:rsidRPr="007920A9" w:rsidRDefault="007F4A32" w:rsidP="00D5699E">
      <w:pPr>
        <w:pStyle w:val="Paragraphedeliste"/>
        <w:numPr>
          <w:ilvl w:val="0"/>
          <w:numId w:val="85"/>
        </w:numPr>
        <w:jc w:val="both"/>
        <w:rPr>
          <w:bCs/>
          <w:sz w:val="24"/>
          <w:szCs w:val="24"/>
        </w:rPr>
      </w:pPr>
      <w:r>
        <w:rPr>
          <w:bCs/>
          <w:sz w:val="24"/>
          <w:szCs w:val="24"/>
        </w:rPr>
        <w:t>Le gouvernement est engagé dans une réforme de la gestion du budget (GBO)</w:t>
      </w:r>
      <w:r w:rsidR="00C26C2C">
        <w:rPr>
          <w:bCs/>
          <w:sz w:val="24"/>
          <w:szCs w:val="24"/>
        </w:rPr>
        <w:t xml:space="preserve"> qui intègre l’évaluation des performances et la mise en place d’indicateurs de performances</w:t>
      </w:r>
    </w:p>
    <w:p w14:paraId="2496C114" w14:textId="29A8A232" w:rsidR="004C2C41" w:rsidRPr="007920A9" w:rsidRDefault="004C2C41" w:rsidP="00026C12">
      <w:pPr>
        <w:jc w:val="both"/>
        <w:rPr>
          <w:b/>
          <w:bCs/>
          <w:sz w:val="24"/>
          <w:szCs w:val="24"/>
        </w:rPr>
      </w:pPr>
      <w:r w:rsidRPr="007920A9">
        <w:rPr>
          <w:b/>
          <w:bCs/>
          <w:sz w:val="24"/>
          <w:szCs w:val="24"/>
        </w:rPr>
        <w:t>3.5 Existe-t-il une agence ou un ministère principalement responsable des données ou des statistiques ? (Importance : Moyenne)</w:t>
      </w:r>
      <w:r w:rsidR="00201E72" w:rsidRPr="007920A9">
        <w:rPr>
          <w:b/>
          <w:bCs/>
          <w:sz w:val="24"/>
          <w:szCs w:val="24"/>
        </w:rPr>
        <w:t xml:space="preserve"> </w:t>
      </w:r>
      <w:r w:rsidR="00201E72" w:rsidRPr="007920A9">
        <w:rPr>
          <w:b/>
          <w:bCs/>
          <w:sz w:val="24"/>
          <w:szCs w:val="24"/>
          <w:highlight w:val="green"/>
        </w:rPr>
        <w:t>VERT</w:t>
      </w:r>
    </w:p>
    <w:p w14:paraId="4679DBA8" w14:textId="38B3448B" w:rsidR="004C2C41" w:rsidRPr="007920A9" w:rsidRDefault="008B3687" w:rsidP="001C539E">
      <w:pPr>
        <w:pStyle w:val="Paragraphedeliste"/>
        <w:numPr>
          <w:ilvl w:val="0"/>
          <w:numId w:val="11"/>
        </w:numPr>
        <w:autoSpaceDE w:val="0"/>
        <w:autoSpaceDN w:val="0"/>
        <w:adjustRightInd w:val="0"/>
        <w:spacing w:after="0" w:line="240" w:lineRule="auto"/>
        <w:jc w:val="both"/>
        <w:rPr>
          <w:rFonts w:cs="Times New Roman"/>
          <w:sz w:val="24"/>
          <w:szCs w:val="24"/>
        </w:rPr>
      </w:pPr>
      <w:r w:rsidRPr="007920A9">
        <w:rPr>
          <w:rFonts w:cs="Times New Roman"/>
          <w:sz w:val="24"/>
          <w:szCs w:val="24"/>
        </w:rPr>
        <w:t>L’</w:t>
      </w:r>
      <w:r w:rsidR="00055D5E" w:rsidRPr="007920A9">
        <w:rPr>
          <w:rFonts w:cs="Times New Roman"/>
          <w:sz w:val="24"/>
          <w:szCs w:val="24"/>
        </w:rPr>
        <w:t>Institut</w:t>
      </w:r>
      <w:r w:rsidRPr="007920A9">
        <w:rPr>
          <w:rFonts w:cs="Times New Roman"/>
          <w:sz w:val="24"/>
          <w:szCs w:val="24"/>
        </w:rPr>
        <w:t xml:space="preserve"> National de La Statisti</w:t>
      </w:r>
      <w:r w:rsidR="00055D5E" w:rsidRPr="007920A9">
        <w:rPr>
          <w:rFonts w:cs="Times New Roman"/>
          <w:sz w:val="24"/>
          <w:szCs w:val="24"/>
        </w:rPr>
        <w:t>que (I</w:t>
      </w:r>
      <w:r w:rsidRPr="007920A9">
        <w:rPr>
          <w:rFonts w:cs="Times New Roman"/>
          <w:sz w:val="24"/>
          <w:szCs w:val="24"/>
        </w:rPr>
        <w:t>NS</w:t>
      </w:r>
      <w:r w:rsidRPr="007920A9">
        <w:rPr>
          <w:rStyle w:val="Appelnotedebasdep"/>
          <w:rFonts w:cs="Times New Roman"/>
          <w:sz w:val="24"/>
          <w:szCs w:val="24"/>
        </w:rPr>
        <w:footnoteReference w:id="52"/>
      </w:r>
      <w:r w:rsidRPr="007920A9">
        <w:rPr>
          <w:rFonts w:cs="Times New Roman"/>
          <w:sz w:val="24"/>
          <w:szCs w:val="24"/>
        </w:rPr>
        <w:t>) est « </w:t>
      </w:r>
      <w:r w:rsidR="00055D5E" w:rsidRPr="007920A9">
        <w:rPr>
          <w:rFonts w:cs="Times New Roman"/>
          <w:sz w:val="24"/>
          <w:szCs w:val="24"/>
        </w:rPr>
        <w:t>l'organisme central du système national de la statistique. »</w:t>
      </w:r>
    </w:p>
    <w:p w14:paraId="4BEC8922" w14:textId="7FB477AF" w:rsidR="008B3687" w:rsidRPr="007920A9" w:rsidRDefault="006E4BBF" w:rsidP="001C539E">
      <w:pPr>
        <w:pStyle w:val="Paragraphedeliste"/>
        <w:numPr>
          <w:ilvl w:val="0"/>
          <w:numId w:val="11"/>
        </w:numPr>
        <w:autoSpaceDE w:val="0"/>
        <w:autoSpaceDN w:val="0"/>
        <w:adjustRightInd w:val="0"/>
        <w:spacing w:after="0" w:line="240" w:lineRule="auto"/>
        <w:jc w:val="both"/>
        <w:rPr>
          <w:rFonts w:cs="Times New Roman"/>
          <w:sz w:val="24"/>
          <w:szCs w:val="24"/>
        </w:rPr>
      </w:pPr>
      <w:r>
        <w:rPr>
          <w:rFonts w:cs="Times New Roman"/>
          <w:sz w:val="24"/>
          <w:szCs w:val="24"/>
        </w:rPr>
        <w:t>L’I</w:t>
      </w:r>
      <w:r w:rsidR="008B3687" w:rsidRPr="007920A9">
        <w:rPr>
          <w:rFonts w:cs="Times New Roman"/>
          <w:sz w:val="24"/>
          <w:szCs w:val="24"/>
        </w:rPr>
        <w:t xml:space="preserve">NS </w:t>
      </w:r>
      <w:r w:rsidR="00055D5E" w:rsidRPr="007920A9">
        <w:rPr>
          <w:rFonts w:cs="Times New Roman"/>
          <w:sz w:val="24"/>
          <w:szCs w:val="24"/>
        </w:rPr>
        <w:t>gère un ensemble de portails de données :</w:t>
      </w:r>
    </w:p>
    <w:p w14:paraId="15340BF8" w14:textId="35FFC747" w:rsidR="00055D5E" w:rsidRPr="007920A9" w:rsidRDefault="00055D5E" w:rsidP="001C539E">
      <w:pPr>
        <w:pStyle w:val="Paragraphedeliste"/>
        <w:numPr>
          <w:ilvl w:val="1"/>
          <w:numId w:val="11"/>
        </w:numPr>
        <w:autoSpaceDE w:val="0"/>
        <w:autoSpaceDN w:val="0"/>
        <w:adjustRightInd w:val="0"/>
        <w:spacing w:after="0" w:line="240" w:lineRule="auto"/>
        <w:jc w:val="both"/>
        <w:rPr>
          <w:rFonts w:cs="Times New Roman"/>
          <w:sz w:val="24"/>
          <w:szCs w:val="24"/>
        </w:rPr>
      </w:pPr>
      <w:r w:rsidRPr="007920A9">
        <w:rPr>
          <w:rFonts w:cs="Times New Roman"/>
          <w:sz w:val="24"/>
          <w:szCs w:val="24"/>
        </w:rPr>
        <w:t xml:space="preserve">Le portail central statistique </w:t>
      </w:r>
      <w:hyperlink r:id="rId31" w:history="1">
        <w:r w:rsidRPr="007920A9">
          <w:rPr>
            <w:rStyle w:val="Lienhypertexte"/>
            <w:rFonts w:cs="Times New Roman"/>
            <w:sz w:val="24"/>
            <w:szCs w:val="24"/>
          </w:rPr>
          <w:t>http://dataportal.ins.tn/</w:t>
        </w:r>
      </w:hyperlink>
      <w:r w:rsidRPr="007920A9">
        <w:rPr>
          <w:rFonts w:cs="Times New Roman"/>
          <w:sz w:val="24"/>
          <w:szCs w:val="24"/>
        </w:rPr>
        <w:t xml:space="preserve">  </w:t>
      </w:r>
    </w:p>
    <w:p w14:paraId="7B9644C7" w14:textId="68497B8F" w:rsidR="00055D5E" w:rsidRPr="007920A9" w:rsidRDefault="00055D5E" w:rsidP="001C539E">
      <w:pPr>
        <w:pStyle w:val="Paragraphedeliste"/>
        <w:numPr>
          <w:ilvl w:val="1"/>
          <w:numId w:val="11"/>
        </w:numPr>
        <w:autoSpaceDE w:val="0"/>
        <w:autoSpaceDN w:val="0"/>
        <w:adjustRightInd w:val="0"/>
        <w:spacing w:after="0" w:line="240" w:lineRule="auto"/>
        <w:jc w:val="both"/>
        <w:rPr>
          <w:rFonts w:cs="Times New Roman"/>
          <w:sz w:val="24"/>
          <w:szCs w:val="24"/>
        </w:rPr>
      </w:pPr>
      <w:r w:rsidRPr="007920A9">
        <w:rPr>
          <w:rFonts w:cs="Times New Roman"/>
          <w:sz w:val="24"/>
          <w:szCs w:val="24"/>
        </w:rPr>
        <w:t xml:space="preserve">Un portail régional: </w:t>
      </w:r>
      <w:hyperlink r:id="rId32" w:history="1">
        <w:r w:rsidRPr="007920A9">
          <w:rPr>
            <w:rStyle w:val="Lienhypertexte"/>
            <w:rFonts w:cs="Times New Roman"/>
            <w:sz w:val="24"/>
            <w:szCs w:val="24"/>
          </w:rPr>
          <w:t>http://regions.ins.tn/</w:t>
        </w:r>
      </w:hyperlink>
      <w:r w:rsidRPr="007920A9">
        <w:rPr>
          <w:rFonts w:cs="Times New Roman"/>
          <w:sz w:val="24"/>
          <w:szCs w:val="24"/>
        </w:rPr>
        <w:t xml:space="preserve"> </w:t>
      </w:r>
    </w:p>
    <w:p w14:paraId="0ACCFF18" w14:textId="798DC35E" w:rsidR="00055D5E" w:rsidRPr="007920A9" w:rsidRDefault="00055D5E" w:rsidP="001C539E">
      <w:pPr>
        <w:pStyle w:val="Paragraphedeliste"/>
        <w:numPr>
          <w:ilvl w:val="1"/>
          <w:numId w:val="11"/>
        </w:numPr>
        <w:autoSpaceDE w:val="0"/>
        <w:autoSpaceDN w:val="0"/>
        <w:adjustRightInd w:val="0"/>
        <w:spacing w:after="0" w:line="240" w:lineRule="auto"/>
        <w:jc w:val="both"/>
        <w:rPr>
          <w:rFonts w:cs="Times New Roman"/>
          <w:sz w:val="24"/>
          <w:szCs w:val="24"/>
        </w:rPr>
      </w:pPr>
      <w:r w:rsidRPr="007920A9">
        <w:rPr>
          <w:rFonts w:cs="Times New Roman"/>
          <w:sz w:val="24"/>
          <w:szCs w:val="24"/>
        </w:rPr>
        <w:t xml:space="preserve">Un portail sur les données du commerce extérieur : </w:t>
      </w:r>
      <w:hyperlink r:id="rId33" w:history="1">
        <w:r w:rsidRPr="007920A9">
          <w:rPr>
            <w:rStyle w:val="Lienhypertexte"/>
            <w:rFonts w:cs="Times New Roman"/>
            <w:sz w:val="24"/>
            <w:szCs w:val="24"/>
          </w:rPr>
          <w:t>http://comtrade.ins.tn/</w:t>
        </w:r>
      </w:hyperlink>
      <w:r w:rsidRPr="007920A9">
        <w:rPr>
          <w:rFonts w:cs="Times New Roman"/>
          <w:sz w:val="24"/>
          <w:szCs w:val="24"/>
        </w:rPr>
        <w:t xml:space="preserve">   </w:t>
      </w:r>
    </w:p>
    <w:p w14:paraId="5998FF32" w14:textId="216472B6" w:rsidR="00055D5E" w:rsidRPr="007920A9" w:rsidRDefault="00055D5E" w:rsidP="001C539E">
      <w:pPr>
        <w:pStyle w:val="Paragraphedeliste"/>
        <w:numPr>
          <w:ilvl w:val="1"/>
          <w:numId w:val="11"/>
        </w:numPr>
        <w:autoSpaceDE w:val="0"/>
        <w:autoSpaceDN w:val="0"/>
        <w:adjustRightInd w:val="0"/>
        <w:spacing w:after="0" w:line="240" w:lineRule="auto"/>
        <w:jc w:val="both"/>
        <w:rPr>
          <w:rFonts w:cs="Times New Roman"/>
          <w:sz w:val="24"/>
          <w:szCs w:val="24"/>
        </w:rPr>
      </w:pPr>
      <w:r w:rsidRPr="007920A9">
        <w:rPr>
          <w:rFonts w:cs="Times New Roman"/>
          <w:sz w:val="24"/>
          <w:szCs w:val="24"/>
        </w:rPr>
        <w:t>Un portail de micro données : http://nada.ins.tn/index.php/Accueil</w:t>
      </w:r>
    </w:p>
    <w:p w14:paraId="07ECCE21" w14:textId="6D82D762" w:rsidR="00055D5E" w:rsidRDefault="00055D5E" w:rsidP="001C539E">
      <w:pPr>
        <w:pStyle w:val="Paragraphedeliste"/>
        <w:numPr>
          <w:ilvl w:val="0"/>
          <w:numId w:val="10"/>
        </w:numPr>
        <w:autoSpaceDE w:val="0"/>
        <w:autoSpaceDN w:val="0"/>
        <w:adjustRightInd w:val="0"/>
        <w:spacing w:after="0" w:line="240" w:lineRule="auto"/>
        <w:jc w:val="both"/>
        <w:rPr>
          <w:rFonts w:cs="Times New Roman"/>
          <w:sz w:val="24"/>
          <w:szCs w:val="24"/>
        </w:rPr>
      </w:pPr>
      <w:r w:rsidRPr="007920A9">
        <w:rPr>
          <w:rFonts w:cs="Times New Roman"/>
          <w:sz w:val="24"/>
          <w:szCs w:val="24"/>
        </w:rPr>
        <w:t>Aucun des portails n’a de licences de</w:t>
      </w:r>
      <w:r w:rsidR="008B3687" w:rsidRPr="007920A9">
        <w:rPr>
          <w:rFonts w:cs="Times New Roman"/>
          <w:sz w:val="24"/>
          <w:szCs w:val="24"/>
        </w:rPr>
        <w:t xml:space="preserve"> données </w:t>
      </w:r>
    </w:p>
    <w:p w14:paraId="4F8DAFD4" w14:textId="7615FC83" w:rsidR="001F4BF0" w:rsidRPr="007920A9" w:rsidRDefault="001F4BF0" w:rsidP="00D5699E">
      <w:pPr>
        <w:pStyle w:val="Paragraphedeliste"/>
        <w:numPr>
          <w:ilvl w:val="0"/>
          <w:numId w:val="67"/>
        </w:numPr>
        <w:autoSpaceDE w:val="0"/>
        <w:autoSpaceDN w:val="0"/>
        <w:adjustRightInd w:val="0"/>
        <w:spacing w:after="0" w:line="240" w:lineRule="auto"/>
        <w:jc w:val="both"/>
        <w:rPr>
          <w:rFonts w:cs="Times New Roman"/>
          <w:sz w:val="24"/>
          <w:szCs w:val="24"/>
        </w:rPr>
      </w:pPr>
      <w:r>
        <w:rPr>
          <w:rFonts w:cs="Times New Roman"/>
          <w:sz w:val="24"/>
          <w:szCs w:val="24"/>
        </w:rPr>
        <w:t>L’INS est ouvert à adopter toute licence qui sera recommandée au niveau national</w:t>
      </w:r>
    </w:p>
    <w:p w14:paraId="6AC1F5FC" w14:textId="7833B1F8" w:rsidR="00DF7BDB" w:rsidRPr="001F4BF0" w:rsidRDefault="00055D5E" w:rsidP="001C539E">
      <w:pPr>
        <w:pStyle w:val="Paragraphedeliste"/>
        <w:numPr>
          <w:ilvl w:val="0"/>
          <w:numId w:val="10"/>
        </w:numPr>
        <w:autoSpaceDE w:val="0"/>
        <w:autoSpaceDN w:val="0"/>
        <w:adjustRightInd w:val="0"/>
        <w:spacing w:after="0" w:line="240" w:lineRule="auto"/>
        <w:jc w:val="both"/>
        <w:rPr>
          <w:rFonts w:cs="Times New Roman"/>
          <w:sz w:val="24"/>
          <w:szCs w:val="24"/>
        </w:rPr>
      </w:pPr>
      <w:r w:rsidRPr="007920A9">
        <w:rPr>
          <w:rFonts w:cs="Times New Roman"/>
          <w:sz w:val="24"/>
          <w:szCs w:val="24"/>
        </w:rPr>
        <w:t>Les logiciels de portail ne sont pas similaires aux autres portails gouvernementaux</w:t>
      </w:r>
      <w:r w:rsidR="00DF7BDB">
        <w:rPr>
          <w:rFonts w:cs="Times New Roman"/>
          <w:sz w:val="24"/>
          <w:szCs w:val="24"/>
        </w:rPr>
        <w:t xml:space="preserve"> et n’offrent pas de catalogue ou de téléchargement facile de jeux de données</w:t>
      </w:r>
    </w:p>
    <w:p w14:paraId="7FD3E010" w14:textId="18CB8351" w:rsidR="00DF7BDB" w:rsidRDefault="00DF7BDB" w:rsidP="00D5699E">
      <w:pPr>
        <w:pStyle w:val="Paragraphedeliste"/>
        <w:numPr>
          <w:ilvl w:val="0"/>
          <w:numId w:val="66"/>
        </w:numPr>
        <w:autoSpaceDE w:val="0"/>
        <w:autoSpaceDN w:val="0"/>
        <w:adjustRightInd w:val="0"/>
        <w:spacing w:after="0" w:line="240" w:lineRule="auto"/>
        <w:jc w:val="both"/>
        <w:rPr>
          <w:rFonts w:cs="Times New Roman"/>
          <w:sz w:val="24"/>
          <w:szCs w:val="24"/>
        </w:rPr>
      </w:pPr>
      <w:r>
        <w:rPr>
          <w:rFonts w:cs="Times New Roman"/>
          <w:sz w:val="24"/>
          <w:szCs w:val="24"/>
        </w:rPr>
        <w:t xml:space="preserve">L’INS est conscient de la difficulté d’exploitation de son portail et travail a </w:t>
      </w:r>
      <w:r w:rsidR="006B5D45">
        <w:rPr>
          <w:rFonts w:cs="Times New Roman"/>
          <w:sz w:val="24"/>
          <w:szCs w:val="24"/>
        </w:rPr>
        <w:t>une nouvelle version basée</w:t>
      </w:r>
      <w:r>
        <w:rPr>
          <w:rFonts w:cs="Times New Roman"/>
          <w:sz w:val="24"/>
          <w:szCs w:val="24"/>
        </w:rPr>
        <w:t xml:space="preserve"> sur un moteur de recherche (Solr) et l’</w:t>
      </w:r>
      <w:r w:rsidR="001F4BF0">
        <w:rPr>
          <w:rFonts w:cs="Times New Roman"/>
          <w:sz w:val="24"/>
          <w:szCs w:val="24"/>
        </w:rPr>
        <w:t>accès</w:t>
      </w:r>
      <w:r>
        <w:rPr>
          <w:rFonts w:cs="Times New Roman"/>
          <w:sz w:val="24"/>
          <w:szCs w:val="24"/>
        </w:rPr>
        <w:t xml:space="preserve"> direct à des jeux de données.</w:t>
      </w:r>
    </w:p>
    <w:p w14:paraId="7B10C9D0" w14:textId="77777777" w:rsidR="001F4BF0" w:rsidRDefault="00DF7BDB" w:rsidP="00D5699E">
      <w:pPr>
        <w:pStyle w:val="Paragraphedeliste"/>
        <w:numPr>
          <w:ilvl w:val="0"/>
          <w:numId w:val="68"/>
        </w:numPr>
        <w:autoSpaceDE w:val="0"/>
        <w:autoSpaceDN w:val="0"/>
        <w:adjustRightInd w:val="0"/>
        <w:spacing w:after="0" w:line="240" w:lineRule="auto"/>
        <w:jc w:val="both"/>
        <w:rPr>
          <w:rFonts w:cs="Times New Roman"/>
          <w:sz w:val="24"/>
          <w:szCs w:val="24"/>
        </w:rPr>
      </w:pPr>
      <w:r>
        <w:rPr>
          <w:rFonts w:cs="Times New Roman"/>
          <w:sz w:val="24"/>
          <w:szCs w:val="24"/>
        </w:rPr>
        <w:t xml:space="preserve">L’INS a fait le choix de l’utilisation du standard SDMX pour les </w:t>
      </w:r>
      <w:r w:rsidR="001F4BF0">
        <w:rPr>
          <w:rFonts w:cs="Times New Roman"/>
          <w:sz w:val="24"/>
          <w:szCs w:val="24"/>
        </w:rPr>
        <w:t>métadonnées</w:t>
      </w:r>
      <w:r>
        <w:rPr>
          <w:rFonts w:cs="Times New Roman"/>
          <w:sz w:val="24"/>
          <w:szCs w:val="24"/>
        </w:rPr>
        <w:t xml:space="preserve">, à la différence de toutes les autres agences (DCAT, DCAT-AP) </w:t>
      </w:r>
      <w:r w:rsidR="001F4BF0">
        <w:rPr>
          <w:rFonts w:cs="Times New Roman"/>
          <w:sz w:val="24"/>
          <w:szCs w:val="24"/>
        </w:rPr>
        <w:t>mais est ouvert à s’adapter aux recommandations nationales qui pourraient être émises.</w:t>
      </w:r>
    </w:p>
    <w:p w14:paraId="33F095A9" w14:textId="67082809" w:rsidR="001F4BF0" w:rsidRPr="001F4BF0" w:rsidRDefault="001F4BF0" w:rsidP="00D5699E">
      <w:pPr>
        <w:pStyle w:val="Paragraphedeliste"/>
        <w:numPr>
          <w:ilvl w:val="0"/>
          <w:numId w:val="69"/>
        </w:numPr>
        <w:autoSpaceDE w:val="0"/>
        <w:autoSpaceDN w:val="0"/>
        <w:adjustRightInd w:val="0"/>
        <w:spacing w:after="0" w:line="240" w:lineRule="auto"/>
        <w:jc w:val="both"/>
        <w:rPr>
          <w:rFonts w:cs="Times New Roman"/>
          <w:sz w:val="24"/>
          <w:szCs w:val="24"/>
        </w:rPr>
      </w:pPr>
      <w:r>
        <w:rPr>
          <w:rFonts w:cs="Times New Roman"/>
          <w:sz w:val="24"/>
          <w:szCs w:val="24"/>
        </w:rPr>
        <w:t xml:space="preserve">L’INS est en cours d’établir une cellule responsable de l’anonymisation des données. </w:t>
      </w:r>
      <w:r w:rsidR="00641958">
        <w:rPr>
          <w:rFonts w:cs="Times New Roman"/>
          <w:sz w:val="24"/>
          <w:szCs w:val="24"/>
        </w:rPr>
        <w:t>Po</w:t>
      </w:r>
      <w:r>
        <w:rPr>
          <w:rFonts w:cs="Times New Roman"/>
          <w:sz w:val="24"/>
          <w:szCs w:val="24"/>
        </w:rPr>
        <w:t>ur l’instant une seule personne est dédiée à cette tâche et a été formée sur les pratiques internationales. L’INS prévoit de développer cette expertise</w:t>
      </w:r>
    </w:p>
    <w:p w14:paraId="017FFE03" w14:textId="2D804271" w:rsidR="001F4BF0" w:rsidRPr="001F4BF0" w:rsidRDefault="007F52B1" w:rsidP="00D5699E">
      <w:pPr>
        <w:pStyle w:val="Paragraphedeliste"/>
        <w:numPr>
          <w:ilvl w:val="0"/>
          <w:numId w:val="69"/>
        </w:numPr>
        <w:autoSpaceDE w:val="0"/>
        <w:autoSpaceDN w:val="0"/>
        <w:adjustRightInd w:val="0"/>
        <w:spacing w:after="0" w:line="240" w:lineRule="auto"/>
        <w:jc w:val="both"/>
        <w:rPr>
          <w:rFonts w:cs="Times New Roman"/>
          <w:sz w:val="24"/>
          <w:szCs w:val="24"/>
        </w:rPr>
      </w:pPr>
      <w:r w:rsidRPr="001F4BF0">
        <w:rPr>
          <w:rFonts w:cs="Times New Roman"/>
          <w:sz w:val="24"/>
          <w:szCs w:val="24"/>
        </w:rPr>
        <w:t>L’</w:t>
      </w:r>
      <w:r w:rsidR="00055D5E" w:rsidRPr="001F4BF0">
        <w:rPr>
          <w:rFonts w:cs="Times New Roman"/>
          <w:sz w:val="24"/>
          <w:szCs w:val="24"/>
        </w:rPr>
        <w:t xml:space="preserve">INS </w:t>
      </w:r>
      <w:r w:rsidRPr="001F4BF0">
        <w:rPr>
          <w:rFonts w:cs="Times New Roman"/>
          <w:sz w:val="24"/>
          <w:szCs w:val="24"/>
        </w:rPr>
        <w:t>est classé pour la qualité de ces données ouvertes 1er</w:t>
      </w:r>
      <w:r w:rsidR="00055D5E" w:rsidRPr="001F4BF0">
        <w:rPr>
          <w:rFonts w:cs="Times New Roman"/>
          <w:sz w:val="24"/>
          <w:szCs w:val="24"/>
        </w:rPr>
        <w:t xml:space="preserve"> </w:t>
      </w:r>
      <w:r w:rsidRPr="001F4BF0">
        <w:rPr>
          <w:rFonts w:cs="Times New Roman"/>
          <w:sz w:val="24"/>
          <w:szCs w:val="24"/>
        </w:rPr>
        <w:t>en Afrique du Nord, 5</w:t>
      </w:r>
      <w:r w:rsidRPr="001F4BF0">
        <w:rPr>
          <w:rFonts w:cs="Times New Roman"/>
          <w:sz w:val="24"/>
          <w:szCs w:val="24"/>
          <w:vertAlign w:val="superscript"/>
        </w:rPr>
        <w:t>ème</w:t>
      </w:r>
      <w:r w:rsidRPr="001F4BF0">
        <w:rPr>
          <w:rFonts w:cs="Times New Roman"/>
          <w:sz w:val="24"/>
          <w:szCs w:val="24"/>
        </w:rPr>
        <w:t xml:space="preserve"> en Afrique, et 57</w:t>
      </w:r>
      <w:r w:rsidRPr="001F4BF0">
        <w:rPr>
          <w:rFonts w:cs="Times New Roman"/>
          <w:sz w:val="24"/>
          <w:szCs w:val="24"/>
          <w:vertAlign w:val="superscript"/>
        </w:rPr>
        <w:t>ème</w:t>
      </w:r>
      <w:r w:rsidRPr="001F4BF0">
        <w:rPr>
          <w:rFonts w:cs="Times New Roman"/>
          <w:sz w:val="24"/>
          <w:szCs w:val="24"/>
        </w:rPr>
        <w:t xml:space="preserve"> au niveau mondial par l’organisation Open Data Watch</w:t>
      </w:r>
      <w:r w:rsidRPr="007920A9">
        <w:rPr>
          <w:rStyle w:val="Appelnotedebasdep"/>
          <w:rFonts w:cs="Times New Roman"/>
          <w:sz w:val="24"/>
          <w:szCs w:val="24"/>
        </w:rPr>
        <w:footnoteReference w:id="53"/>
      </w:r>
      <w:r w:rsidRPr="001F4BF0">
        <w:rPr>
          <w:rFonts w:cs="Times New Roman"/>
          <w:sz w:val="24"/>
          <w:szCs w:val="24"/>
        </w:rPr>
        <w:t xml:space="preserve"> </w:t>
      </w:r>
    </w:p>
    <w:p w14:paraId="6FD05A9A" w14:textId="77777777" w:rsidR="001F4BF0" w:rsidRPr="007920A9" w:rsidRDefault="001F4BF0" w:rsidP="00055D5E">
      <w:pPr>
        <w:autoSpaceDE w:val="0"/>
        <w:autoSpaceDN w:val="0"/>
        <w:adjustRightInd w:val="0"/>
        <w:spacing w:after="0" w:line="240" w:lineRule="auto"/>
        <w:ind w:left="700" w:hanging="340"/>
        <w:jc w:val="both"/>
        <w:rPr>
          <w:rFonts w:cs="Times New Roman"/>
          <w:sz w:val="24"/>
          <w:szCs w:val="24"/>
        </w:rPr>
      </w:pPr>
    </w:p>
    <w:p w14:paraId="726C4950" w14:textId="59A8C0F3" w:rsidR="008B3687" w:rsidRPr="007920A9" w:rsidRDefault="008B3687" w:rsidP="00026C12">
      <w:pPr>
        <w:autoSpaceDE w:val="0"/>
        <w:autoSpaceDN w:val="0"/>
        <w:adjustRightInd w:val="0"/>
        <w:spacing w:after="0" w:line="240" w:lineRule="auto"/>
        <w:jc w:val="both"/>
        <w:rPr>
          <w:rFonts w:cs="Times New Roman"/>
          <w:b/>
          <w:sz w:val="24"/>
          <w:szCs w:val="24"/>
        </w:rPr>
      </w:pPr>
    </w:p>
    <w:p w14:paraId="3F456F88" w14:textId="505950E0" w:rsidR="004C2C41" w:rsidRPr="007920A9" w:rsidRDefault="004C2C41" w:rsidP="00026C12">
      <w:pPr>
        <w:autoSpaceDE w:val="0"/>
        <w:autoSpaceDN w:val="0"/>
        <w:adjustRightInd w:val="0"/>
        <w:spacing w:after="0" w:line="240" w:lineRule="auto"/>
        <w:jc w:val="both"/>
        <w:rPr>
          <w:b/>
          <w:bCs/>
          <w:sz w:val="24"/>
          <w:szCs w:val="24"/>
        </w:rPr>
      </w:pPr>
      <w:r w:rsidRPr="007920A9">
        <w:rPr>
          <w:rFonts w:cs="Times New Roman"/>
          <w:b/>
          <w:sz w:val="24"/>
          <w:szCs w:val="24"/>
        </w:rPr>
        <w:t xml:space="preserve">3.6 Y-a-t-il une agence ou un ministère qui apparait plus opposé à l’ouverture des </w:t>
      </w:r>
      <w:r w:rsidR="009352D9">
        <w:rPr>
          <w:rFonts w:cs="Times New Roman"/>
          <w:b/>
          <w:sz w:val="24"/>
          <w:szCs w:val="24"/>
        </w:rPr>
        <w:t>données gouvern</w:t>
      </w:r>
      <w:r w:rsidR="00082F98">
        <w:rPr>
          <w:rFonts w:cs="Times New Roman"/>
          <w:b/>
          <w:sz w:val="24"/>
          <w:szCs w:val="24"/>
        </w:rPr>
        <w:t>e</w:t>
      </w:r>
      <w:r w:rsidR="009352D9">
        <w:rPr>
          <w:rFonts w:cs="Times New Roman"/>
          <w:b/>
          <w:sz w:val="24"/>
          <w:szCs w:val="24"/>
        </w:rPr>
        <w:t>mentales</w:t>
      </w:r>
      <w:r w:rsidR="00082F98">
        <w:rPr>
          <w:rFonts w:cs="Times New Roman"/>
          <w:b/>
          <w:sz w:val="24"/>
          <w:szCs w:val="24"/>
        </w:rPr>
        <w:t xml:space="preserve"> </w:t>
      </w:r>
      <w:r w:rsidRPr="007920A9">
        <w:rPr>
          <w:rFonts w:cs="Times New Roman"/>
          <w:b/>
          <w:sz w:val="24"/>
          <w:szCs w:val="24"/>
        </w:rPr>
        <w:t>et quelles</w:t>
      </w:r>
      <w:r w:rsidR="002126DA">
        <w:rPr>
          <w:rFonts w:cs="Times New Roman"/>
          <w:b/>
          <w:sz w:val="24"/>
          <w:szCs w:val="24"/>
        </w:rPr>
        <w:t xml:space="preserve"> sont</w:t>
      </w:r>
      <w:r w:rsidRPr="007920A9">
        <w:rPr>
          <w:rFonts w:cs="Times New Roman"/>
          <w:b/>
          <w:sz w:val="24"/>
          <w:szCs w:val="24"/>
        </w:rPr>
        <w:t xml:space="preserve"> les raisons de cette opposition ? </w:t>
      </w:r>
      <w:r w:rsidR="008B3687" w:rsidRPr="007920A9">
        <w:rPr>
          <w:rFonts w:cs="Times New Roman"/>
          <w:b/>
          <w:sz w:val="24"/>
          <w:szCs w:val="24"/>
        </w:rPr>
        <w:t>Comment</w:t>
      </w:r>
      <w:r w:rsidRPr="007920A9">
        <w:rPr>
          <w:rFonts w:cs="Times New Roman"/>
          <w:b/>
          <w:sz w:val="24"/>
          <w:szCs w:val="24"/>
        </w:rPr>
        <w:t xml:space="preserve"> leurs inquiétudes peuvent </w:t>
      </w:r>
      <w:r w:rsidR="008B3687" w:rsidRPr="007920A9">
        <w:rPr>
          <w:rFonts w:cs="Times New Roman"/>
          <w:b/>
          <w:sz w:val="24"/>
          <w:szCs w:val="24"/>
        </w:rPr>
        <w:t>être</w:t>
      </w:r>
      <w:r w:rsidRPr="007920A9">
        <w:rPr>
          <w:rFonts w:cs="Times New Roman"/>
          <w:b/>
          <w:sz w:val="24"/>
          <w:szCs w:val="24"/>
        </w:rPr>
        <w:t xml:space="preserve"> </w:t>
      </w:r>
      <w:r w:rsidR="008B3687" w:rsidRPr="007920A9">
        <w:rPr>
          <w:rFonts w:cs="Times New Roman"/>
          <w:b/>
          <w:sz w:val="24"/>
          <w:szCs w:val="24"/>
        </w:rPr>
        <w:t>résolues</w:t>
      </w:r>
      <w:r w:rsidRPr="007920A9">
        <w:rPr>
          <w:rFonts w:cs="Times New Roman"/>
          <w:b/>
          <w:sz w:val="24"/>
          <w:szCs w:val="24"/>
        </w:rPr>
        <w:t xml:space="preserve"> ou comment ces agences peuvent-elles </w:t>
      </w:r>
      <w:r w:rsidR="008B3687" w:rsidRPr="007920A9">
        <w:rPr>
          <w:rFonts w:cs="Times New Roman"/>
          <w:b/>
          <w:sz w:val="24"/>
          <w:szCs w:val="24"/>
        </w:rPr>
        <w:t>être</w:t>
      </w:r>
      <w:r w:rsidRPr="007920A9">
        <w:rPr>
          <w:rFonts w:cs="Times New Roman"/>
          <w:b/>
          <w:sz w:val="24"/>
          <w:szCs w:val="24"/>
        </w:rPr>
        <w:t xml:space="preserve"> gérées ? </w:t>
      </w:r>
      <w:r w:rsidRPr="007920A9">
        <w:rPr>
          <w:b/>
          <w:bCs/>
          <w:sz w:val="24"/>
          <w:szCs w:val="24"/>
        </w:rPr>
        <w:t>(Importance: Élevée)</w:t>
      </w:r>
      <w:r w:rsidR="00201E72" w:rsidRPr="007920A9">
        <w:rPr>
          <w:b/>
          <w:bCs/>
          <w:sz w:val="24"/>
          <w:szCs w:val="24"/>
        </w:rPr>
        <w:t xml:space="preserve"> </w:t>
      </w:r>
      <w:r w:rsidR="00E150B0" w:rsidRPr="00E150B0">
        <w:rPr>
          <w:b/>
          <w:bCs/>
          <w:sz w:val="24"/>
          <w:szCs w:val="24"/>
          <w:highlight w:val="yellow"/>
        </w:rPr>
        <w:t>JAUNE</w:t>
      </w:r>
      <w:r w:rsidR="00E150B0">
        <w:rPr>
          <w:b/>
          <w:bCs/>
          <w:sz w:val="24"/>
          <w:szCs w:val="24"/>
        </w:rPr>
        <w:t>/</w:t>
      </w:r>
      <w:r w:rsidR="007F52B1" w:rsidRPr="007920A9">
        <w:rPr>
          <w:b/>
          <w:bCs/>
          <w:sz w:val="24"/>
          <w:szCs w:val="24"/>
          <w:highlight w:val="green"/>
        </w:rPr>
        <w:t>VERT</w:t>
      </w:r>
    </w:p>
    <w:p w14:paraId="65D49CC8" w14:textId="13063FD9" w:rsidR="008B3687" w:rsidRPr="007920A9" w:rsidRDefault="008B3687" w:rsidP="001C539E">
      <w:pPr>
        <w:pStyle w:val="Paragraphedeliste"/>
        <w:numPr>
          <w:ilvl w:val="0"/>
          <w:numId w:val="12"/>
        </w:numPr>
        <w:autoSpaceDE w:val="0"/>
        <w:autoSpaceDN w:val="0"/>
        <w:adjustRightInd w:val="0"/>
        <w:spacing w:after="0" w:line="240" w:lineRule="auto"/>
        <w:jc w:val="both"/>
        <w:rPr>
          <w:bCs/>
          <w:sz w:val="24"/>
          <w:szCs w:val="24"/>
        </w:rPr>
      </w:pPr>
      <w:r w:rsidRPr="007920A9">
        <w:rPr>
          <w:bCs/>
          <w:sz w:val="24"/>
          <w:szCs w:val="24"/>
        </w:rPr>
        <w:t>A priori, il n’y a pas d’opposant déclaré</w:t>
      </w:r>
      <w:r w:rsidR="00201E72" w:rsidRPr="007920A9">
        <w:rPr>
          <w:bCs/>
          <w:sz w:val="24"/>
          <w:szCs w:val="24"/>
        </w:rPr>
        <w:t xml:space="preserve"> à l’ouverture des données parmi les agences rencontrées</w:t>
      </w:r>
      <w:r w:rsidRPr="007920A9">
        <w:rPr>
          <w:bCs/>
          <w:sz w:val="24"/>
          <w:szCs w:val="24"/>
        </w:rPr>
        <w:t>.</w:t>
      </w:r>
    </w:p>
    <w:p w14:paraId="71CC29B1" w14:textId="25A20F7B" w:rsidR="007F52B1" w:rsidRDefault="007F52B1" w:rsidP="001C539E">
      <w:pPr>
        <w:pStyle w:val="Paragraphedeliste"/>
        <w:numPr>
          <w:ilvl w:val="0"/>
          <w:numId w:val="12"/>
        </w:numPr>
        <w:autoSpaceDE w:val="0"/>
        <w:autoSpaceDN w:val="0"/>
        <w:adjustRightInd w:val="0"/>
        <w:spacing w:after="0" w:line="240" w:lineRule="auto"/>
        <w:jc w:val="both"/>
        <w:rPr>
          <w:bCs/>
          <w:sz w:val="24"/>
          <w:szCs w:val="24"/>
        </w:rPr>
      </w:pPr>
      <w:r w:rsidRPr="007920A9">
        <w:rPr>
          <w:bCs/>
          <w:sz w:val="24"/>
          <w:szCs w:val="24"/>
        </w:rPr>
        <w:t>La révolution de 2011 à instaurer la transparence de gouvernance au cœur de la transition démocratique</w:t>
      </w:r>
    </w:p>
    <w:p w14:paraId="5538B527" w14:textId="7CE21AC0" w:rsidR="001F4BF0" w:rsidRDefault="001F4BF0" w:rsidP="00D5699E">
      <w:pPr>
        <w:pStyle w:val="Paragraphedeliste"/>
        <w:numPr>
          <w:ilvl w:val="0"/>
          <w:numId w:val="70"/>
        </w:numPr>
        <w:autoSpaceDE w:val="0"/>
        <w:autoSpaceDN w:val="0"/>
        <w:adjustRightInd w:val="0"/>
        <w:spacing w:after="0" w:line="240" w:lineRule="auto"/>
        <w:jc w:val="both"/>
        <w:rPr>
          <w:bCs/>
          <w:sz w:val="24"/>
          <w:szCs w:val="24"/>
        </w:rPr>
      </w:pPr>
      <w:r>
        <w:rPr>
          <w:bCs/>
          <w:sz w:val="24"/>
          <w:szCs w:val="24"/>
        </w:rPr>
        <w:t>La culture de l’administration, issue de décennies de régime totalitaire, est toujours imprégné</w:t>
      </w:r>
      <w:r w:rsidR="00641958">
        <w:rPr>
          <w:bCs/>
          <w:sz w:val="24"/>
          <w:szCs w:val="24"/>
        </w:rPr>
        <w:t>e</w:t>
      </w:r>
      <w:r>
        <w:rPr>
          <w:bCs/>
          <w:sz w:val="24"/>
          <w:szCs w:val="24"/>
        </w:rPr>
        <w:t xml:space="preserve"> de la loi du secret. Il existe une résistance culturelle à l’ouverture et à la publication des informations</w:t>
      </w:r>
    </w:p>
    <w:p w14:paraId="27A32EE7" w14:textId="3EF4D0C3" w:rsidR="00E150B0" w:rsidRDefault="001F4BF0" w:rsidP="00D5699E">
      <w:pPr>
        <w:pStyle w:val="Paragraphedeliste"/>
        <w:numPr>
          <w:ilvl w:val="0"/>
          <w:numId w:val="70"/>
        </w:numPr>
        <w:autoSpaceDE w:val="0"/>
        <w:autoSpaceDN w:val="0"/>
        <w:adjustRightInd w:val="0"/>
        <w:spacing w:after="0" w:line="240" w:lineRule="auto"/>
        <w:jc w:val="both"/>
        <w:rPr>
          <w:bCs/>
          <w:sz w:val="24"/>
          <w:szCs w:val="24"/>
        </w:rPr>
      </w:pPr>
      <w:r>
        <w:rPr>
          <w:bCs/>
          <w:sz w:val="24"/>
          <w:szCs w:val="24"/>
        </w:rPr>
        <w:t xml:space="preserve">La </w:t>
      </w:r>
      <w:r w:rsidR="00641958">
        <w:rPr>
          <w:bCs/>
          <w:sz w:val="24"/>
          <w:szCs w:val="24"/>
        </w:rPr>
        <w:t>majorité</w:t>
      </w:r>
      <w:r>
        <w:rPr>
          <w:bCs/>
          <w:sz w:val="24"/>
          <w:szCs w:val="24"/>
        </w:rPr>
        <w:t xml:space="preserve"> des interlocuteurs rencontrés ont une faible connaissance concernant l’Open Data et ne comprenne pas en détail les différences entre publication sur un site Web ou sur un portail de données ouvertes, publication dans des formats ouverts ou en PDF, différence entre données brutes et statistiques etc. </w:t>
      </w:r>
      <w:r w:rsidR="006B5D45">
        <w:rPr>
          <w:bCs/>
          <w:sz w:val="24"/>
          <w:szCs w:val="24"/>
        </w:rPr>
        <w:t>Une sensibilisation poussée</w:t>
      </w:r>
      <w:r>
        <w:rPr>
          <w:bCs/>
          <w:sz w:val="24"/>
          <w:szCs w:val="24"/>
        </w:rPr>
        <w:t xml:space="preserve"> sur ces points sera nécessaire.</w:t>
      </w:r>
    </w:p>
    <w:p w14:paraId="43C4AB29" w14:textId="46C172BA" w:rsidR="00E150B0" w:rsidRDefault="00E150B0" w:rsidP="00D5699E">
      <w:pPr>
        <w:pStyle w:val="Paragraphedeliste"/>
        <w:numPr>
          <w:ilvl w:val="0"/>
          <w:numId w:val="70"/>
        </w:numPr>
        <w:autoSpaceDE w:val="0"/>
        <w:autoSpaceDN w:val="0"/>
        <w:adjustRightInd w:val="0"/>
        <w:spacing w:after="0" w:line="240" w:lineRule="auto"/>
        <w:jc w:val="both"/>
        <w:rPr>
          <w:bCs/>
          <w:sz w:val="24"/>
          <w:szCs w:val="24"/>
        </w:rPr>
      </w:pPr>
      <w:r>
        <w:rPr>
          <w:bCs/>
          <w:sz w:val="24"/>
          <w:szCs w:val="24"/>
        </w:rPr>
        <w:t>La quasi-totalité des interlocuteurs rencontrés ne perçoivent pas et ne sont pas sensibilisés aux bénéfices potentiels de l’ouverture des données en dehors de la transparence.</w:t>
      </w:r>
    </w:p>
    <w:p w14:paraId="32669A99" w14:textId="25DCCF9C" w:rsidR="001F4BF0" w:rsidRPr="007920A9" w:rsidRDefault="00E150B0" w:rsidP="00D5699E">
      <w:pPr>
        <w:pStyle w:val="Paragraphedeliste"/>
        <w:numPr>
          <w:ilvl w:val="0"/>
          <w:numId w:val="70"/>
        </w:numPr>
        <w:autoSpaceDE w:val="0"/>
        <w:autoSpaceDN w:val="0"/>
        <w:adjustRightInd w:val="0"/>
        <w:spacing w:after="0" w:line="240" w:lineRule="auto"/>
        <w:jc w:val="both"/>
        <w:rPr>
          <w:bCs/>
          <w:sz w:val="24"/>
          <w:szCs w:val="24"/>
        </w:rPr>
      </w:pPr>
      <w:r>
        <w:rPr>
          <w:bCs/>
          <w:sz w:val="24"/>
          <w:szCs w:val="24"/>
        </w:rPr>
        <w:t>Parmi les interlocuteurs rencontrés, certains expriment des inquiétudes sur les risques liés à l’ouverture des données : risque de changement des informations, de mauvaises interprétation</w:t>
      </w:r>
      <w:r w:rsidR="009C4F3E">
        <w:rPr>
          <w:bCs/>
          <w:sz w:val="24"/>
          <w:szCs w:val="24"/>
        </w:rPr>
        <w:t>s</w:t>
      </w:r>
      <w:r>
        <w:rPr>
          <w:bCs/>
          <w:sz w:val="24"/>
          <w:szCs w:val="24"/>
        </w:rPr>
        <w:t>, etc.</w:t>
      </w:r>
      <w:r w:rsidR="001F4BF0">
        <w:rPr>
          <w:bCs/>
          <w:sz w:val="24"/>
          <w:szCs w:val="24"/>
        </w:rPr>
        <w:t xml:space="preserve"> </w:t>
      </w:r>
      <w:r>
        <w:rPr>
          <w:bCs/>
          <w:sz w:val="24"/>
          <w:szCs w:val="24"/>
        </w:rPr>
        <w:t>Là encore, une sensibilisation sur la protection légale et sur les bénéfices possible</w:t>
      </w:r>
      <w:r w:rsidR="009E3EC3">
        <w:rPr>
          <w:bCs/>
          <w:sz w:val="24"/>
          <w:szCs w:val="24"/>
        </w:rPr>
        <w:t>s</w:t>
      </w:r>
      <w:r>
        <w:rPr>
          <w:bCs/>
          <w:sz w:val="24"/>
          <w:szCs w:val="24"/>
        </w:rPr>
        <w:t xml:space="preserve"> sera essentielle</w:t>
      </w:r>
    </w:p>
    <w:p w14:paraId="1437022C" w14:textId="77777777" w:rsidR="008B3687" w:rsidRPr="007920A9" w:rsidRDefault="008B3687" w:rsidP="00026C12">
      <w:pPr>
        <w:autoSpaceDE w:val="0"/>
        <w:autoSpaceDN w:val="0"/>
        <w:adjustRightInd w:val="0"/>
        <w:spacing w:after="0" w:line="240" w:lineRule="auto"/>
        <w:jc w:val="both"/>
        <w:rPr>
          <w:bCs/>
          <w:sz w:val="24"/>
          <w:szCs w:val="24"/>
        </w:rPr>
      </w:pPr>
    </w:p>
    <w:p w14:paraId="34BBE2BF" w14:textId="77777777" w:rsidR="007F52B1" w:rsidRPr="007920A9" w:rsidRDefault="007F52B1" w:rsidP="007F52B1">
      <w:pPr>
        <w:pStyle w:val="Paragraphedeliste"/>
        <w:autoSpaceDE w:val="0"/>
        <w:autoSpaceDN w:val="0"/>
        <w:adjustRightInd w:val="0"/>
        <w:spacing w:after="0" w:line="240" w:lineRule="auto"/>
        <w:jc w:val="both"/>
        <w:rPr>
          <w:rFonts w:cs="Times New Roman"/>
          <w:b/>
          <w:sz w:val="24"/>
          <w:szCs w:val="24"/>
        </w:rPr>
      </w:pPr>
    </w:p>
    <w:p w14:paraId="46EA9D2E" w14:textId="5A6A6906" w:rsidR="004C2C41" w:rsidRPr="007920A9" w:rsidRDefault="004C2C41" w:rsidP="00026C12">
      <w:pPr>
        <w:autoSpaceDE w:val="0"/>
        <w:autoSpaceDN w:val="0"/>
        <w:adjustRightInd w:val="0"/>
        <w:spacing w:after="0" w:line="240" w:lineRule="auto"/>
        <w:jc w:val="both"/>
        <w:rPr>
          <w:b/>
          <w:bCs/>
          <w:sz w:val="24"/>
          <w:szCs w:val="24"/>
        </w:rPr>
      </w:pPr>
      <w:r w:rsidRPr="007920A9">
        <w:rPr>
          <w:rFonts w:cs="Times New Roman"/>
          <w:b/>
          <w:sz w:val="24"/>
          <w:szCs w:val="24"/>
        </w:rPr>
        <w:t>3.7 Quelles sont les compétences TIC parmi les leaders gouvernementaux et parmi l’</w:t>
      </w:r>
      <w:r w:rsidR="008B3687" w:rsidRPr="007920A9">
        <w:rPr>
          <w:rFonts w:cs="Times New Roman"/>
          <w:b/>
          <w:sz w:val="24"/>
          <w:szCs w:val="24"/>
        </w:rPr>
        <w:t>administration</w:t>
      </w:r>
      <w:r w:rsidR="0034587F">
        <w:rPr>
          <w:rFonts w:cs="Times New Roman"/>
          <w:b/>
          <w:sz w:val="24"/>
          <w:szCs w:val="24"/>
        </w:rPr>
        <w:t xml:space="preserve"> </w:t>
      </w:r>
      <w:r w:rsidRPr="007920A9">
        <w:rPr>
          <w:rFonts w:cs="Times New Roman"/>
          <w:b/>
          <w:sz w:val="24"/>
          <w:szCs w:val="24"/>
        </w:rPr>
        <w:t xml:space="preserve">? </w:t>
      </w:r>
      <w:r w:rsidRPr="007920A9">
        <w:rPr>
          <w:b/>
          <w:bCs/>
          <w:sz w:val="24"/>
          <w:szCs w:val="24"/>
        </w:rPr>
        <w:t>(Importance</w:t>
      </w:r>
      <w:r w:rsidR="0034587F">
        <w:rPr>
          <w:b/>
          <w:bCs/>
          <w:sz w:val="24"/>
          <w:szCs w:val="24"/>
        </w:rPr>
        <w:t xml:space="preserve"> </w:t>
      </w:r>
      <w:r w:rsidRPr="007920A9">
        <w:rPr>
          <w:b/>
          <w:bCs/>
          <w:sz w:val="24"/>
          <w:szCs w:val="24"/>
        </w:rPr>
        <w:t>: Élevée)</w:t>
      </w:r>
      <w:r w:rsidR="00E150B0">
        <w:rPr>
          <w:b/>
          <w:bCs/>
          <w:sz w:val="24"/>
          <w:szCs w:val="24"/>
        </w:rPr>
        <w:t xml:space="preserve"> </w:t>
      </w:r>
      <w:r w:rsidR="00E150B0" w:rsidRPr="00E150B0">
        <w:rPr>
          <w:b/>
          <w:bCs/>
          <w:sz w:val="24"/>
          <w:szCs w:val="24"/>
          <w:highlight w:val="yellow"/>
        </w:rPr>
        <w:t>JAUNE</w:t>
      </w:r>
    </w:p>
    <w:p w14:paraId="61C7D35C" w14:textId="1D2F350A" w:rsidR="007F52B1" w:rsidRPr="007920A9" w:rsidRDefault="009E3EC3" w:rsidP="001C539E">
      <w:pPr>
        <w:pStyle w:val="Paragraphedeliste"/>
        <w:numPr>
          <w:ilvl w:val="0"/>
          <w:numId w:val="13"/>
        </w:numPr>
        <w:autoSpaceDE w:val="0"/>
        <w:autoSpaceDN w:val="0"/>
        <w:adjustRightInd w:val="0"/>
        <w:spacing w:after="0" w:line="240" w:lineRule="auto"/>
        <w:jc w:val="both"/>
        <w:rPr>
          <w:bCs/>
          <w:sz w:val="24"/>
          <w:szCs w:val="24"/>
        </w:rPr>
      </w:pPr>
      <w:r>
        <w:rPr>
          <w:bCs/>
          <w:sz w:val="24"/>
          <w:szCs w:val="24"/>
        </w:rPr>
        <w:t>A quelques notables exceptions près (Présidence d</w:t>
      </w:r>
      <w:r w:rsidR="00073406">
        <w:rPr>
          <w:bCs/>
          <w:sz w:val="24"/>
          <w:szCs w:val="24"/>
        </w:rPr>
        <w:t>e la République</w:t>
      </w:r>
      <w:r>
        <w:rPr>
          <w:bCs/>
          <w:sz w:val="24"/>
          <w:szCs w:val="24"/>
        </w:rPr>
        <w:t>, Ministère</w:t>
      </w:r>
      <w:r w:rsidRPr="009E3EC3">
        <w:t xml:space="preserve"> </w:t>
      </w:r>
      <w:r w:rsidRPr="009E3EC3">
        <w:rPr>
          <w:bCs/>
          <w:sz w:val="24"/>
          <w:szCs w:val="24"/>
        </w:rPr>
        <w:t>des droits de l’homme et de la justice transitoire</w:t>
      </w:r>
      <w:r w:rsidR="0055199F">
        <w:rPr>
          <w:bCs/>
          <w:sz w:val="24"/>
          <w:szCs w:val="24"/>
        </w:rPr>
        <w:t xml:space="preserve">, certaines </w:t>
      </w:r>
      <w:r w:rsidR="001729D9">
        <w:rPr>
          <w:bCs/>
          <w:sz w:val="24"/>
          <w:szCs w:val="24"/>
        </w:rPr>
        <w:t>structures</w:t>
      </w:r>
      <w:r w:rsidR="0055199F">
        <w:rPr>
          <w:bCs/>
          <w:sz w:val="24"/>
          <w:szCs w:val="24"/>
        </w:rPr>
        <w:t xml:space="preserve"> judiciaires comme le tribunal </w:t>
      </w:r>
      <w:r w:rsidR="00563E19">
        <w:rPr>
          <w:bCs/>
          <w:sz w:val="24"/>
          <w:szCs w:val="24"/>
        </w:rPr>
        <w:t>administratif</w:t>
      </w:r>
      <w:r>
        <w:rPr>
          <w:bCs/>
          <w:sz w:val="24"/>
          <w:szCs w:val="24"/>
        </w:rPr>
        <w:t xml:space="preserve">), toutes les agences ont un site </w:t>
      </w:r>
      <w:r w:rsidR="007F52B1" w:rsidRPr="007920A9">
        <w:rPr>
          <w:bCs/>
          <w:sz w:val="24"/>
          <w:szCs w:val="24"/>
        </w:rPr>
        <w:t>web, le plus souvent en français et arabe, voire pour certains également en anglais</w:t>
      </w:r>
    </w:p>
    <w:p w14:paraId="44A1F5C3" w14:textId="5C8C5525" w:rsidR="007F52B1" w:rsidRDefault="007F52B1" w:rsidP="001C539E">
      <w:pPr>
        <w:pStyle w:val="Paragraphedeliste"/>
        <w:numPr>
          <w:ilvl w:val="0"/>
          <w:numId w:val="13"/>
        </w:numPr>
        <w:autoSpaceDE w:val="0"/>
        <w:autoSpaceDN w:val="0"/>
        <w:adjustRightInd w:val="0"/>
        <w:spacing w:after="0" w:line="240" w:lineRule="auto"/>
        <w:jc w:val="both"/>
        <w:rPr>
          <w:bCs/>
          <w:sz w:val="24"/>
          <w:szCs w:val="24"/>
        </w:rPr>
      </w:pPr>
      <w:r w:rsidRPr="007920A9">
        <w:rPr>
          <w:bCs/>
          <w:sz w:val="24"/>
          <w:szCs w:val="24"/>
        </w:rPr>
        <w:t>Les sites web sont régulièrement mis à jour</w:t>
      </w:r>
    </w:p>
    <w:p w14:paraId="49C5358F" w14:textId="304F781D" w:rsidR="00E150B0" w:rsidRDefault="00E150B0" w:rsidP="001C539E">
      <w:pPr>
        <w:pStyle w:val="Paragraphedeliste"/>
        <w:numPr>
          <w:ilvl w:val="0"/>
          <w:numId w:val="13"/>
        </w:numPr>
        <w:autoSpaceDE w:val="0"/>
        <w:autoSpaceDN w:val="0"/>
        <w:adjustRightInd w:val="0"/>
        <w:spacing w:after="0" w:line="240" w:lineRule="auto"/>
        <w:jc w:val="both"/>
        <w:rPr>
          <w:bCs/>
          <w:sz w:val="24"/>
          <w:szCs w:val="24"/>
        </w:rPr>
      </w:pPr>
      <w:r>
        <w:rPr>
          <w:bCs/>
          <w:sz w:val="24"/>
          <w:szCs w:val="24"/>
        </w:rPr>
        <w:t>De nombreux SI sont déployés ou sont en cours de déploiement dans les différents ministères</w:t>
      </w:r>
    </w:p>
    <w:p w14:paraId="27E33CE3" w14:textId="26474A06" w:rsidR="00E150B0" w:rsidRDefault="00E150B0" w:rsidP="00D5699E">
      <w:pPr>
        <w:pStyle w:val="Paragraphedeliste"/>
        <w:numPr>
          <w:ilvl w:val="0"/>
          <w:numId w:val="72"/>
        </w:numPr>
        <w:autoSpaceDE w:val="0"/>
        <w:autoSpaceDN w:val="0"/>
        <w:adjustRightInd w:val="0"/>
        <w:spacing w:after="0" w:line="240" w:lineRule="auto"/>
        <w:jc w:val="both"/>
        <w:rPr>
          <w:bCs/>
          <w:sz w:val="24"/>
          <w:szCs w:val="24"/>
        </w:rPr>
      </w:pPr>
      <w:r>
        <w:rPr>
          <w:bCs/>
          <w:sz w:val="24"/>
          <w:szCs w:val="24"/>
        </w:rPr>
        <w:t xml:space="preserve">De nombreux ministères ou de structures sous tutelle n’ont pas de SI </w:t>
      </w:r>
      <w:r w:rsidR="00563E19">
        <w:rPr>
          <w:bCs/>
          <w:sz w:val="24"/>
          <w:szCs w:val="24"/>
        </w:rPr>
        <w:t>ni</w:t>
      </w:r>
      <w:r>
        <w:rPr>
          <w:bCs/>
          <w:sz w:val="24"/>
          <w:szCs w:val="24"/>
        </w:rPr>
        <w:t xml:space="preserve"> de gestion électronique de documents</w:t>
      </w:r>
    </w:p>
    <w:p w14:paraId="5D48733E" w14:textId="5C875AF1" w:rsidR="00E150B0" w:rsidRDefault="00E150B0" w:rsidP="00D5699E">
      <w:pPr>
        <w:pStyle w:val="Paragraphedeliste"/>
        <w:numPr>
          <w:ilvl w:val="0"/>
          <w:numId w:val="72"/>
        </w:numPr>
        <w:autoSpaceDE w:val="0"/>
        <w:autoSpaceDN w:val="0"/>
        <w:adjustRightInd w:val="0"/>
        <w:spacing w:after="0" w:line="240" w:lineRule="auto"/>
        <w:jc w:val="both"/>
        <w:rPr>
          <w:bCs/>
          <w:sz w:val="24"/>
          <w:szCs w:val="24"/>
        </w:rPr>
      </w:pPr>
      <w:r>
        <w:rPr>
          <w:bCs/>
          <w:sz w:val="24"/>
          <w:szCs w:val="24"/>
        </w:rPr>
        <w:t xml:space="preserve">Les états des différents ministères sont très hétérogènes </w:t>
      </w:r>
      <w:r w:rsidR="006B5D45">
        <w:rPr>
          <w:bCs/>
          <w:sz w:val="24"/>
          <w:szCs w:val="24"/>
        </w:rPr>
        <w:t>en termes de</w:t>
      </w:r>
      <w:r>
        <w:rPr>
          <w:bCs/>
          <w:sz w:val="24"/>
          <w:szCs w:val="24"/>
        </w:rPr>
        <w:t xml:space="preserve"> capacité et de SI. Ce point est confirmé par l’INS qui collecte toujours une partie des données de certains ministères sous format papier </w:t>
      </w:r>
    </w:p>
    <w:p w14:paraId="1BC0E428" w14:textId="0A12FCD7" w:rsidR="007F52B1" w:rsidRPr="00E150B0" w:rsidRDefault="00E150B0" w:rsidP="00D5699E">
      <w:pPr>
        <w:pStyle w:val="Paragraphedeliste"/>
        <w:numPr>
          <w:ilvl w:val="0"/>
          <w:numId w:val="71"/>
        </w:numPr>
        <w:autoSpaceDE w:val="0"/>
        <w:autoSpaceDN w:val="0"/>
        <w:adjustRightInd w:val="0"/>
        <w:spacing w:after="0" w:line="240" w:lineRule="auto"/>
        <w:jc w:val="both"/>
        <w:rPr>
          <w:bCs/>
          <w:sz w:val="24"/>
          <w:szCs w:val="24"/>
        </w:rPr>
      </w:pPr>
      <w:r>
        <w:rPr>
          <w:bCs/>
          <w:sz w:val="24"/>
          <w:szCs w:val="24"/>
        </w:rPr>
        <w:t>Il n’y a pas d’homogénéité dans les sites Web, chacun étant géré indépendamment (charte graphique, plateforme, etc.)</w:t>
      </w:r>
    </w:p>
    <w:p w14:paraId="0E1A2C82" w14:textId="77777777" w:rsidR="00201E72" w:rsidRPr="007920A9" w:rsidRDefault="00201E72" w:rsidP="00026C12">
      <w:pPr>
        <w:autoSpaceDE w:val="0"/>
        <w:autoSpaceDN w:val="0"/>
        <w:adjustRightInd w:val="0"/>
        <w:spacing w:after="0" w:line="240" w:lineRule="auto"/>
        <w:jc w:val="both"/>
        <w:rPr>
          <w:bCs/>
          <w:sz w:val="24"/>
          <w:szCs w:val="24"/>
        </w:rPr>
      </w:pPr>
    </w:p>
    <w:p w14:paraId="1D2A3FAF" w14:textId="77777777" w:rsidR="004C2C41" w:rsidRPr="007920A9" w:rsidRDefault="004C2C41" w:rsidP="00026C12">
      <w:pPr>
        <w:autoSpaceDE w:val="0"/>
        <w:autoSpaceDN w:val="0"/>
        <w:adjustRightInd w:val="0"/>
        <w:spacing w:after="0" w:line="240" w:lineRule="auto"/>
        <w:jc w:val="both"/>
        <w:rPr>
          <w:rFonts w:ascii="Times New Roman" w:hAnsi="Times New Roman" w:cs="Times New Roman"/>
          <w:sz w:val="24"/>
          <w:szCs w:val="24"/>
        </w:rPr>
      </w:pPr>
    </w:p>
    <w:p w14:paraId="78D9E8D9" w14:textId="762D7D1E" w:rsidR="004C2C41" w:rsidRPr="007920A9" w:rsidRDefault="004C2C41" w:rsidP="001C539E">
      <w:pPr>
        <w:pStyle w:val="Paragraphedeliste"/>
        <w:numPr>
          <w:ilvl w:val="1"/>
          <w:numId w:val="36"/>
        </w:numPr>
        <w:autoSpaceDE w:val="0"/>
        <w:autoSpaceDN w:val="0"/>
        <w:adjustRightInd w:val="0"/>
        <w:spacing w:after="360" w:line="240" w:lineRule="auto"/>
        <w:jc w:val="both"/>
        <w:rPr>
          <w:b/>
          <w:bCs/>
          <w:sz w:val="24"/>
          <w:szCs w:val="24"/>
        </w:rPr>
      </w:pPr>
      <w:r w:rsidRPr="007920A9">
        <w:rPr>
          <w:rFonts w:cs="Times New Roman"/>
          <w:b/>
          <w:sz w:val="24"/>
          <w:szCs w:val="24"/>
        </w:rPr>
        <w:t xml:space="preserve">Quelle est la présence Web du gouvernement ? </w:t>
      </w:r>
      <w:r w:rsidRPr="007920A9">
        <w:rPr>
          <w:b/>
          <w:bCs/>
          <w:sz w:val="24"/>
          <w:szCs w:val="24"/>
        </w:rPr>
        <w:t>(Importance : Moyenne)</w:t>
      </w:r>
      <w:r w:rsidR="00201E72" w:rsidRPr="007920A9">
        <w:rPr>
          <w:b/>
          <w:bCs/>
          <w:sz w:val="24"/>
          <w:szCs w:val="24"/>
        </w:rPr>
        <w:t xml:space="preserve"> </w:t>
      </w:r>
      <w:r w:rsidR="00E150B0" w:rsidRPr="007920A9">
        <w:rPr>
          <w:b/>
          <w:bCs/>
          <w:sz w:val="24"/>
          <w:szCs w:val="24"/>
          <w:highlight w:val="green"/>
        </w:rPr>
        <w:t>VERT</w:t>
      </w:r>
    </w:p>
    <w:p w14:paraId="65538AE0" w14:textId="77777777" w:rsidR="00A75C46" w:rsidRPr="007920A9" w:rsidRDefault="00A75C46" w:rsidP="00A75C46">
      <w:pPr>
        <w:pStyle w:val="Paragraphedeliste"/>
        <w:autoSpaceDE w:val="0"/>
        <w:autoSpaceDN w:val="0"/>
        <w:adjustRightInd w:val="0"/>
        <w:spacing w:after="360" w:line="240" w:lineRule="auto"/>
        <w:ind w:left="360"/>
        <w:jc w:val="both"/>
        <w:rPr>
          <w:b/>
          <w:bCs/>
          <w:sz w:val="24"/>
          <w:szCs w:val="24"/>
        </w:rPr>
      </w:pPr>
    </w:p>
    <w:p w14:paraId="375E06D7" w14:textId="7DA591BA" w:rsidR="00201E72" w:rsidRPr="006E4BBF" w:rsidRDefault="00A75C46" w:rsidP="001C539E">
      <w:pPr>
        <w:pStyle w:val="Paragraphedeliste"/>
        <w:numPr>
          <w:ilvl w:val="0"/>
          <w:numId w:val="39"/>
        </w:numPr>
        <w:autoSpaceDE w:val="0"/>
        <w:autoSpaceDN w:val="0"/>
        <w:adjustRightInd w:val="0"/>
        <w:spacing w:before="360" w:after="0" w:line="240" w:lineRule="auto"/>
        <w:jc w:val="both"/>
        <w:rPr>
          <w:bCs/>
          <w:sz w:val="24"/>
          <w:szCs w:val="24"/>
        </w:rPr>
      </w:pPr>
      <w:r w:rsidRPr="006E4BBF">
        <w:rPr>
          <w:bCs/>
          <w:sz w:val="24"/>
          <w:szCs w:val="24"/>
        </w:rPr>
        <w:t xml:space="preserve">Chaque agence est en charge de son site Web </w:t>
      </w:r>
    </w:p>
    <w:p w14:paraId="2D394557" w14:textId="2189C7A5" w:rsidR="008B3687" w:rsidRPr="007920A9" w:rsidRDefault="00201E72" w:rsidP="001C539E">
      <w:pPr>
        <w:pStyle w:val="Paragraphedeliste"/>
        <w:numPr>
          <w:ilvl w:val="0"/>
          <w:numId w:val="14"/>
        </w:numPr>
        <w:autoSpaceDE w:val="0"/>
        <w:autoSpaceDN w:val="0"/>
        <w:adjustRightInd w:val="0"/>
        <w:spacing w:after="0" w:line="240" w:lineRule="auto"/>
        <w:jc w:val="both"/>
        <w:rPr>
          <w:bCs/>
          <w:sz w:val="24"/>
          <w:szCs w:val="24"/>
        </w:rPr>
      </w:pPr>
      <w:r w:rsidRPr="007920A9">
        <w:rPr>
          <w:bCs/>
          <w:sz w:val="24"/>
          <w:szCs w:val="24"/>
        </w:rPr>
        <w:t>La quasi-totalité de</w:t>
      </w:r>
      <w:r w:rsidR="008B3687" w:rsidRPr="007920A9">
        <w:rPr>
          <w:bCs/>
          <w:sz w:val="24"/>
          <w:szCs w:val="24"/>
        </w:rPr>
        <w:t>s sites gouvernementaux sont disponibles en français et arabe</w:t>
      </w:r>
      <w:r w:rsidR="00A75C46" w:rsidRPr="007920A9">
        <w:rPr>
          <w:bCs/>
          <w:sz w:val="24"/>
          <w:szCs w:val="24"/>
        </w:rPr>
        <w:t xml:space="preserve"> voire pour certains en anglais</w:t>
      </w:r>
    </w:p>
    <w:p w14:paraId="0925EF47" w14:textId="0D808D0D" w:rsidR="00201E72" w:rsidRPr="007920A9" w:rsidRDefault="0055199F" w:rsidP="001C539E">
      <w:pPr>
        <w:pStyle w:val="Paragraphedeliste"/>
        <w:numPr>
          <w:ilvl w:val="0"/>
          <w:numId w:val="14"/>
        </w:numPr>
        <w:autoSpaceDE w:val="0"/>
        <w:autoSpaceDN w:val="0"/>
        <w:adjustRightInd w:val="0"/>
        <w:spacing w:after="0" w:line="240" w:lineRule="auto"/>
        <w:jc w:val="both"/>
        <w:rPr>
          <w:rFonts w:cs="Times New Roman"/>
          <w:sz w:val="24"/>
          <w:szCs w:val="24"/>
        </w:rPr>
      </w:pPr>
      <w:r>
        <w:rPr>
          <w:bCs/>
          <w:sz w:val="24"/>
          <w:szCs w:val="24"/>
        </w:rPr>
        <w:t>Sur une grande partie des sites Web, l</w:t>
      </w:r>
      <w:r w:rsidR="008B3687" w:rsidRPr="007920A9">
        <w:rPr>
          <w:bCs/>
          <w:sz w:val="24"/>
          <w:szCs w:val="24"/>
        </w:rPr>
        <w:t>es informations sont mises à jour régulièrement avec des actualités du jour notamment</w:t>
      </w:r>
    </w:p>
    <w:p w14:paraId="52BB12B4" w14:textId="50F9AD78" w:rsidR="00A75C46" w:rsidRPr="006E4BBF" w:rsidRDefault="00201E72" w:rsidP="00D5699E">
      <w:pPr>
        <w:pStyle w:val="Paragraphedeliste"/>
        <w:numPr>
          <w:ilvl w:val="0"/>
          <w:numId w:val="49"/>
        </w:numPr>
        <w:autoSpaceDE w:val="0"/>
        <w:autoSpaceDN w:val="0"/>
        <w:adjustRightInd w:val="0"/>
        <w:spacing w:before="360" w:after="0" w:line="240" w:lineRule="auto"/>
        <w:jc w:val="both"/>
        <w:rPr>
          <w:bCs/>
          <w:sz w:val="24"/>
          <w:szCs w:val="24"/>
        </w:rPr>
      </w:pPr>
      <w:r w:rsidRPr="006E4BBF">
        <w:rPr>
          <w:bCs/>
          <w:sz w:val="24"/>
          <w:szCs w:val="24"/>
        </w:rPr>
        <w:t xml:space="preserve">Les réseaux sociaux ne </w:t>
      </w:r>
      <w:r w:rsidR="006B5D45" w:rsidRPr="006E4BBF">
        <w:rPr>
          <w:bCs/>
          <w:sz w:val="24"/>
          <w:szCs w:val="24"/>
        </w:rPr>
        <w:t>semblent</w:t>
      </w:r>
      <w:r w:rsidRPr="006E4BBF">
        <w:rPr>
          <w:bCs/>
          <w:sz w:val="24"/>
          <w:szCs w:val="24"/>
        </w:rPr>
        <w:t xml:space="preserve"> pas utilisés par les </w:t>
      </w:r>
      <w:r w:rsidR="00641958">
        <w:rPr>
          <w:bCs/>
          <w:sz w:val="24"/>
          <w:szCs w:val="24"/>
        </w:rPr>
        <w:t>organismes publics</w:t>
      </w:r>
      <w:r w:rsidRPr="006E4BBF">
        <w:rPr>
          <w:bCs/>
          <w:sz w:val="24"/>
          <w:szCs w:val="24"/>
        </w:rPr>
        <w:t xml:space="preserve"> à </w:t>
      </w:r>
      <w:r w:rsidR="00A75C46" w:rsidRPr="006E4BBF">
        <w:rPr>
          <w:bCs/>
          <w:sz w:val="24"/>
          <w:szCs w:val="24"/>
        </w:rPr>
        <w:t>l‘</w:t>
      </w:r>
      <w:r w:rsidRPr="006E4BBF">
        <w:rPr>
          <w:bCs/>
          <w:sz w:val="24"/>
          <w:szCs w:val="24"/>
        </w:rPr>
        <w:t>exception</w:t>
      </w:r>
      <w:r w:rsidR="00A75C46" w:rsidRPr="006E4BBF">
        <w:rPr>
          <w:bCs/>
          <w:sz w:val="24"/>
          <w:szCs w:val="24"/>
        </w:rPr>
        <w:t xml:space="preserve"> d’une présence </w:t>
      </w:r>
      <w:r w:rsidRPr="006E4BBF">
        <w:rPr>
          <w:bCs/>
          <w:sz w:val="24"/>
          <w:szCs w:val="24"/>
        </w:rPr>
        <w:t>sur Facebook</w:t>
      </w:r>
      <w:r w:rsidRPr="006E4BBF">
        <w:rPr>
          <w:rStyle w:val="Appelnotedebasdep"/>
          <w:bCs/>
          <w:sz w:val="24"/>
          <w:szCs w:val="24"/>
        </w:rPr>
        <w:footnoteReference w:id="54"/>
      </w:r>
      <w:r w:rsidR="00A75C46" w:rsidRPr="006E4BBF">
        <w:rPr>
          <w:bCs/>
          <w:sz w:val="24"/>
          <w:szCs w:val="24"/>
        </w:rPr>
        <w:t xml:space="preserve"> </w:t>
      </w:r>
    </w:p>
    <w:p w14:paraId="6C31FE5A" w14:textId="045D4DC0" w:rsidR="005761D2" w:rsidRDefault="00A75C46" w:rsidP="001C539E">
      <w:pPr>
        <w:pStyle w:val="Paragraphedeliste"/>
        <w:numPr>
          <w:ilvl w:val="0"/>
          <w:numId w:val="37"/>
        </w:numPr>
        <w:autoSpaceDE w:val="0"/>
        <w:autoSpaceDN w:val="0"/>
        <w:adjustRightInd w:val="0"/>
        <w:spacing w:before="360" w:after="0" w:line="240" w:lineRule="auto"/>
        <w:jc w:val="both"/>
        <w:rPr>
          <w:bCs/>
          <w:sz w:val="24"/>
          <w:szCs w:val="24"/>
        </w:rPr>
      </w:pPr>
      <w:r w:rsidRPr="007920A9">
        <w:rPr>
          <w:bCs/>
          <w:sz w:val="24"/>
          <w:szCs w:val="24"/>
        </w:rPr>
        <w:t xml:space="preserve">Le MTCEN </w:t>
      </w:r>
      <w:r w:rsidR="00641958">
        <w:rPr>
          <w:bCs/>
          <w:sz w:val="24"/>
          <w:szCs w:val="24"/>
        </w:rPr>
        <w:t xml:space="preserve">a </w:t>
      </w:r>
      <w:r w:rsidRPr="007920A9">
        <w:rPr>
          <w:bCs/>
          <w:sz w:val="24"/>
          <w:szCs w:val="24"/>
        </w:rPr>
        <w:t>publi</w:t>
      </w:r>
      <w:r w:rsidR="00641958">
        <w:rPr>
          <w:bCs/>
          <w:sz w:val="24"/>
          <w:szCs w:val="24"/>
        </w:rPr>
        <w:t>é</w:t>
      </w:r>
      <w:r w:rsidRPr="007920A9">
        <w:rPr>
          <w:bCs/>
          <w:sz w:val="24"/>
          <w:szCs w:val="24"/>
        </w:rPr>
        <w:t xml:space="preserve"> un ensemble de guidelines pour la réalisation des sites Web</w:t>
      </w:r>
      <w:r w:rsidRPr="007920A9">
        <w:rPr>
          <w:rStyle w:val="Appelnotedebasdep"/>
          <w:bCs/>
          <w:sz w:val="24"/>
          <w:szCs w:val="24"/>
        </w:rPr>
        <w:footnoteReference w:id="55"/>
      </w:r>
      <w:r w:rsidRPr="007920A9">
        <w:rPr>
          <w:bCs/>
          <w:sz w:val="24"/>
          <w:szCs w:val="24"/>
        </w:rPr>
        <w:t>, incluant notamment la prise en compte de l’accessibilité</w:t>
      </w:r>
      <w:r w:rsidR="00641958">
        <w:rPr>
          <w:bCs/>
          <w:sz w:val="24"/>
          <w:szCs w:val="24"/>
        </w:rPr>
        <w:t xml:space="preserve"> mais ces guidelines ne sont pas à jour</w:t>
      </w:r>
    </w:p>
    <w:p w14:paraId="0F593403" w14:textId="35F59D63" w:rsidR="00201E72" w:rsidRDefault="00A75C46" w:rsidP="00D5699E">
      <w:pPr>
        <w:pStyle w:val="Paragraphedeliste"/>
        <w:numPr>
          <w:ilvl w:val="0"/>
          <w:numId w:val="50"/>
        </w:numPr>
        <w:autoSpaceDE w:val="0"/>
        <w:autoSpaceDN w:val="0"/>
        <w:adjustRightInd w:val="0"/>
        <w:spacing w:before="360" w:after="0" w:line="240" w:lineRule="auto"/>
        <w:jc w:val="both"/>
        <w:rPr>
          <w:bCs/>
          <w:sz w:val="24"/>
          <w:szCs w:val="24"/>
        </w:rPr>
      </w:pPr>
      <w:r w:rsidRPr="0034587F">
        <w:rPr>
          <w:bCs/>
          <w:sz w:val="24"/>
          <w:szCs w:val="24"/>
        </w:rPr>
        <w:t>Mais ces guidelines sont assez anciennes</w:t>
      </w:r>
    </w:p>
    <w:p w14:paraId="2AA3B3B6" w14:textId="2FE49A5D" w:rsidR="00E150B0" w:rsidRPr="0034587F" w:rsidRDefault="00E150B0" w:rsidP="00D5699E">
      <w:pPr>
        <w:pStyle w:val="Paragraphedeliste"/>
        <w:numPr>
          <w:ilvl w:val="0"/>
          <w:numId w:val="73"/>
        </w:numPr>
        <w:autoSpaceDE w:val="0"/>
        <w:autoSpaceDN w:val="0"/>
        <w:adjustRightInd w:val="0"/>
        <w:spacing w:before="360" w:after="0" w:line="240" w:lineRule="auto"/>
        <w:jc w:val="both"/>
        <w:rPr>
          <w:bCs/>
          <w:sz w:val="24"/>
          <w:szCs w:val="24"/>
        </w:rPr>
      </w:pPr>
      <w:r>
        <w:rPr>
          <w:bCs/>
          <w:sz w:val="24"/>
          <w:szCs w:val="24"/>
        </w:rPr>
        <w:t>Chaque structure semble avoir un chargé de communication en charge de la publication sur les sites Web</w:t>
      </w:r>
    </w:p>
    <w:p w14:paraId="6C2D19EC" w14:textId="77777777" w:rsidR="008B3687" w:rsidRPr="007920A9" w:rsidRDefault="008B3687" w:rsidP="00026C12">
      <w:pPr>
        <w:autoSpaceDE w:val="0"/>
        <w:autoSpaceDN w:val="0"/>
        <w:adjustRightInd w:val="0"/>
        <w:spacing w:after="0" w:line="240" w:lineRule="auto"/>
        <w:jc w:val="both"/>
        <w:rPr>
          <w:bCs/>
        </w:rPr>
      </w:pPr>
    </w:p>
    <w:p w14:paraId="194873D7" w14:textId="5282C376" w:rsidR="00C66790" w:rsidRPr="007920A9" w:rsidRDefault="00C66790" w:rsidP="001C539E">
      <w:pPr>
        <w:pStyle w:val="Paragraphedeliste"/>
        <w:numPr>
          <w:ilvl w:val="0"/>
          <w:numId w:val="38"/>
        </w:numPr>
        <w:spacing w:line="240" w:lineRule="auto"/>
        <w:rPr>
          <w:rStyle w:val="Emphaseple"/>
          <w:rFonts w:ascii="Arial" w:hAnsi="Arial" w:cs="Times New Roman"/>
          <w:b w:val="0"/>
          <w:iCs w:val="0"/>
          <w:color w:val="000000"/>
        </w:rPr>
      </w:pPr>
      <w:r w:rsidRPr="007920A9">
        <w:rPr>
          <w:rStyle w:val="Emphaseple"/>
          <w:b w:val="0"/>
          <w:color w:val="auto"/>
        </w:rPr>
        <w:br w:type="page"/>
      </w:r>
    </w:p>
    <w:p w14:paraId="0B90B163" w14:textId="77777777" w:rsidR="00E81B63" w:rsidRPr="007920A9" w:rsidRDefault="00E81B63" w:rsidP="00026C12">
      <w:pPr>
        <w:pStyle w:val="Sous-titre"/>
        <w:spacing w:before="0" w:after="240"/>
        <w:jc w:val="both"/>
        <w:rPr>
          <w:rStyle w:val="Emphaseple"/>
          <w:color w:val="auto"/>
          <w:lang w:val="fr-FR"/>
        </w:rPr>
      </w:pPr>
      <w:r w:rsidRPr="007920A9">
        <w:rPr>
          <w:rStyle w:val="Emphaseple"/>
          <w:color w:val="auto"/>
          <w:lang w:val="fr-FR"/>
        </w:rPr>
        <w:t>Evaluation des STRUCTURES INSTITUTIONNELLES, RESPONSABILITES ET COMPETENCES AU SEIN DU GOUVERNEMENT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559"/>
        <w:gridCol w:w="1417"/>
        <w:gridCol w:w="4644"/>
      </w:tblGrid>
      <w:tr w:rsidR="00E81B63" w:rsidRPr="007920A9" w14:paraId="0558941A" w14:textId="77777777" w:rsidTr="00E81B63">
        <w:trPr>
          <w:cantSplit/>
          <w:trHeight w:val="305"/>
          <w:tblHeader/>
        </w:trPr>
        <w:tc>
          <w:tcPr>
            <w:tcW w:w="1668" w:type="dxa"/>
            <w:shd w:val="clear" w:color="auto" w:fill="D9D9D9" w:themeFill="background1" w:themeFillShade="D9"/>
            <w:vAlign w:val="center"/>
          </w:tcPr>
          <w:p w14:paraId="48F1D1DF" w14:textId="77777777" w:rsidR="00E81B63" w:rsidRPr="007920A9" w:rsidRDefault="00E81B63" w:rsidP="00026C12">
            <w:pPr>
              <w:spacing w:after="0"/>
              <w:jc w:val="both"/>
              <w:rPr>
                <w:b/>
              </w:rPr>
            </w:pPr>
            <w:r w:rsidRPr="007920A9">
              <w:rPr>
                <w:b/>
              </w:rPr>
              <w:t>Domaine</w:t>
            </w:r>
          </w:p>
        </w:tc>
        <w:tc>
          <w:tcPr>
            <w:tcW w:w="1559" w:type="dxa"/>
            <w:shd w:val="clear" w:color="auto" w:fill="D9D9D9" w:themeFill="background1" w:themeFillShade="D9"/>
            <w:vAlign w:val="center"/>
          </w:tcPr>
          <w:p w14:paraId="000D269E" w14:textId="77777777" w:rsidR="00E81B63" w:rsidRPr="007920A9" w:rsidRDefault="00E81B63" w:rsidP="00026C12">
            <w:pPr>
              <w:spacing w:after="0"/>
              <w:jc w:val="both"/>
              <w:rPr>
                <w:b/>
              </w:rPr>
            </w:pPr>
            <w:r w:rsidRPr="007920A9">
              <w:rPr>
                <w:b/>
              </w:rPr>
              <w:t>Importance</w:t>
            </w:r>
          </w:p>
        </w:tc>
        <w:tc>
          <w:tcPr>
            <w:tcW w:w="1417" w:type="dxa"/>
            <w:shd w:val="clear" w:color="auto" w:fill="D9D9D9" w:themeFill="background1" w:themeFillShade="D9"/>
            <w:vAlign w:val="center"/>
          </w:tcPr>
          <w:p w14:paraId="138F1D45" w14:textId="77777777" w:rsidR="00E81B63" w:rsidRPr="007920A9" w:rsidRDefault="00E81B63" w:rsidP="00026C12">
            <w:pPr>
              <w:spacing w:after="0"/>
              <w:jc w:val="both"/>
              <w:rPr>
                <w:b/>
              </w:rPr>
            </w:pPr>
            <w:r w:rsidRPr="007920A9">
              <w:rPr>
                <w:b/>
              </w:rPr>
              <w:t>Evaluation</w:t>
            </w:r>
          </w:p>
        </w:tc>
        <w:tc>
          <w:tcPr>
            <w:tcW w:w="4644" w:type="dxa"/>
            <w:shd w:val="clear" w:color="auto" w:fill="D9D9D9" w:themeFill="background1" w:themeFillShade="D9"/>
            <w:vAlign w:val="center"/>
          </w:tcPr>
          <w:p w14:paraId="74629770" w14:textId="77777777" w:rsidR="00E81B63" w:rsidRPr="007920A9" w:rsidRDefault="00E81B63" w:rsidP="00026C12">
            <w:pPr>
              <w:spacing w:after="0"/>
              <w:jc w:val="both"/>
              <w:rPr>
                <w:b/>
              </w:rPr>
            </w:pPr>
            <w:r w:rsidRPr="007920A9">
              <w:rPr>
                <w:b/>
              </w:rPr>
              <w:t>Commentaires</w:t>
            </w:r>
          </w:p>
        </w:tc>
      </w:tr>
      <w:tr w:rsidR="00E81B63" w:rsidRPr="007920A9" w14:paraId="1C8B0BF3" w14:textId="77777777" w:rsidTr="00E81B63">
        <w:tc>
          <w:tcPr>
            <w:tcW w:w="1668" w:type="dxa"/>
            <w:vAlign w:val="center"/>
          </w:tcPr>
          <w:p w14:paraId="323666D0" w14:textId="0A7C7633" w:rsidR="00E81B63" w:rsidRPr="007920A9" w:rsidRDefault="000E2B23" w:rsidP="00026C12">
            <w:pPr>
              <w:spacing w:after="0"/>
              <w:jc w:val="both"/>
              <w:rPr>
                <w:b/>
              </w:rPr>
            </w:pPr>
            <w:r>
              <w:rPr>
                <w:b/>
              </w:rPr>
              <w:t xml:space="preserve">Organismes publics </w:t>
            </w:r>
            <w:r w:rsidR="00E81B63" w:rsidRPr="007920A9">
              <w:rPr>
                <w:b/>
              </w:rPr>
              <w:t>leader sur l’Open Data</w:t>
            </w:r>
          </w:p>
        </w:tc>
        <w:tc>
          <w:tcPr>
            <w:tcW w:w="1559" w:type="dxa"/>
            <w:vAlign w:val="center"/>
          </w:tcPr>
          <w:p w14:paraId="6C130A55" w14:textId="77777777" w:rsidR="00E81B63" w:rsidRPr="007920A9" w:rsidRDefault="00E81B63" w:rsidP="00026C12">
            <w:pPr>
              <w:spacing w:after="0"/>
              <w:jc w:val="both"/>
            </w:pPr>
            <w:r w:rsidRPr="007920A9">
              <w:t>Très élevée</w:t>
            </w:r>
          </w:p>
        </w:tc>
        <w:tc>
          <w:tcPr>
            <w:tcW w:w="1417" w:type="dxa"/>
            <w:shd w:val="clear" w:color="auto" w:fill="auto"/>
            <w:vAlign w:val="center"/>
          </w:tcPr>
          <w:p w14:paraId="318057BD" w14:textId="791D961A" w:rsidR="00E81B63" w:rsidRPr="00C96685" w:rsidRDefault="00E150B0" w:rsidP="00026C12">
            <w:pPr>
              <w:spacing w:after="0"/>
              <w:jc w:val="both"/>
              <w:rPr>
                <w:b/>
                <w:highlight w:val="lightGray"/>
              </w:rPr>
            </w:pPr>
            <w:r w:rsidRPr="00C96685">
              <w:rPr>
                <w:b/>
                <w:highlight w:val="green"/>
              </w:rPr>
              <w:t>VERT</w:t>
            </w:r>
          </w:p>
        </w:tc>
        <w:tc>
          <w:tcPr>
            <w:tcW w:w="4644" w:type="dxa"/>
            <w:vAlign w:val="center"/>
          </w:tcPr>
          <w:p w14:paraId="23B2C70D" w14:textId="6B457983" w:rsidR="00E81B63" w:rsidRPr="007920A9" w:rsidRDefault="008E53C9" w:rsidP="00026C12">
            <w:pPr>
              <w:spacing w:after="0"/>
              <w:jc w:val="both"/>
            </w:pPr>
            <w:r w:rsidRPr="007920A9">
              <w:t>L’UAE</w:t>
            </w:r>
            <w:r w:rsidR="00E81B63" w:rsidRPr="007920A9">
              <w:t xml:space="preserve"> apparait clairement comme le leader sur l’ouverture des données d’un point de vue technique. </w:t>
            </w:r>
            <w:r w:rsidRPr="007920A9">
              <w:t>LA DGRP</w:t>
            </w:r>
            <w:r w:rsidR="00674ECD">
              <w:t>A</w:t>
            </w:r>
            <w:r w:rsidRPr="007920A9">
              <w:t xml:space="preserve"> et l’instance d’accès à l’information sont également clé</w:t>
            </w:r>
            <w:r w:rsidR="00733310">
              <w:t>s</w:t>
            </w:r>
            <w:r w:rsidRPr="007920A9">
              <w:t xml:space="preserve"> pour la publication de données par les agences</w:t>
            </w:r>
          </w:p>
        </w:tc>
      </w:tr>
      <w:tr w:rsidR="008E53C9" w:rsidRPr="007920A9" w14:paraId="2D6402D2" w14:textId="77777777" w:rsidTr="00E81B63">
        <w:tc>
          <w:tcPr>
            <w:tcW w:w="1668" w:type="dxa"/>
            <w:vAlign w:val="center"/>
          </w:tcPr>
          <w:p w14:paraId="1D563508" w14:textId="59752509" w:rsidR="008E53C9" w:rsidRPr="007920A9" w:rsidRDefault="008E53C9" w:rsidP="008E53C9">
            <w:pPr>
              <w:spacing w:after="0"/>
              <w:jc w:val="both"/>
              <w:rPr>
                <w:b/>
              </w:rPr>
            </w:pPr>
            <w:r w:rsidRPr="007920A9">
              <w:rPr>
                <w:b/>
              </w:rPr>
              <w:t xml:space="preserve">Présence de </w:t>
            </w:r>
            <w:r w:rsidR="00731631">
              <w:rPr>
                <w:b/>
              </w:rPr>
              <w:t>DSI</w:t>
            </w:r>
          </w:p>
        </w:tc>
        <w:tc>
          <w:tcPr>
            <w:tcW w:w="1559" w:type="dxa"/>
            <w:vAlign w:val="center"/>
          </w:tcPr>
          <w:p w14:paraId="0F3D3FE3" w14:textId="77777777" w:rsidR="008E53C9" w:rsidRPr="007920A9" w:rsidRDefault="008E53C9" w:rsidP="008E53C9">
            <w:pPr>
              <w:spacing w:after="0"/>
              <w:jc w:val="both"/>
            </w:pPr>
            <w:r w:rsidRPr="007920A9">
              <w:t>Moyennement élevée</w:t>
            </w:r>
          </w:p>
        </w:tc>
        <w:tc>
          <w:tcPr>
            <w:tcW w:w="1417" w:type="dxa"/>
            <w:tcBorders>
              <w:bottom w:val="single" w:sz="4" w:space="0" w:color="auto"/>
            </w:tcBorders>
            <w:shd w:val="clear" w:color="auto" w:fill="auto"/>
            <w:vAlign w:val="center"/>
          </w:tcPr>
          <w:p w14:paraId="3BC8A1FC" w14:textId="1F349787" w:rsidR="008E53C9" w:rsidRPr="00C96685" w:rsidRDefault="00731631" w:rsidP="008E53C9">
            <w:pPr>
              <w:spacing w:after="0"/>
              <w:jc w:val="both"/>
              <w:rPr>
                <w:b/>
                <w:highlight w:val="yellow"/>
              </w:rPr>
            </w:pPr>
            <w:r w:rsidRPr="00C96685">
              <w:rPr>
                <w:b/>
                <w:highlight w:val="yellow"/>
              </w:rPr>
              <w:t>JAUNE</w:t>
            </w:r>
          </w:p>
        </w:tc>
        <w:tc>
          <w:tcPr>
            <w:tcW w:w="4644" w:type="dxa"/>
            <w:vAlign w:val="center"/>
          </w:tcPr>
          <w:p w14:paraId="78CC2173" w14:textId="77777777" w:rsidR="008E53C9" w:rsidRDefault="00731631" w:rsidP="008E53C9">
            <w:pPr>
              <w:pStyle w:val="En-tte"/>
              <w:tabs>
                <w:tab w:val="clear" w:pos="4513"/>
                <w:tab w:val="clear" w:pos="9026"/>
              </w:tabs>
              <w:spacing w:before="0" w:after="0"/>
              <w:jc w:val="both"/>
              <w:rPr>
                <w:sz w:val="22"/>
                <w:szCs w:val="22"/>
                <w:lang w:val="fr-FR"/>
              </w:rPr>
            </w:pPr>
            <w:r>
              <w:rPr>
                <w:sz w:val="22"/>
                <w:szCs w:val="22"/>
                <w:lang w:val="fr-FR"/>
              </w:rPr>
              <w:t>Il n’y a pas de poste dédié à la gestion de données dans les ministères et structures. Il n’y a pas de poste de DSI au niveau des ministères ou au niveau national.</w:t>
            </w:r>
          </w:p>
          <w:p w14:paraId="1AFB1512" w14:textId="68938BB9" w:rsidR="00731631" w:rsidRPr="007920A9" w:rsidRDefault="00C96685" w:rsidP="008E53C9">
            <w:pPr>
              <w:pStyle w:val="En-tte"/>
              <w:tabs>
                <w:tab w:val="clear" w:pos="4513"/>
                <w:tab w:val="clear" w:pos="9026"/>
              </w:tabs>
              <w:spacing w:before="0" w:after="0"/>
              <w:jc w:val="both"/>
              <w:rPr>
                <w:sz w:val="22"/>
                <w:szCs w:val="22"/>
                <w:lang w:val="fr-FR"/>
              </w:rPr>
            </w:pPr>
            <w:r>
              <w:rPr>
                <w:sz w:val="22"/>
                <w:szCs w:val="22"/>
                <w:lang w:val="fr-FR"/>
              </w:rPr>
              <w:t>Par contre chaque structure semble avoir un service informatique dont le responsable est</w:t>
            </w:r>
            <w:r w:rsidR="00731631">
              <w:rPr>
                <w:sz w:val="22"/>
                <w:szCs w:val="22"/>
                <w:lang w:val="fr-FR"/>
              </w:rPr>
              <w:t xml:space="preserve"> bien au fait des SI</w:t>
            </w:r>
            <w:r>
              <w:rPr>
                <w:sz w:val="22"/>
                <w:szCs w:val="22"/>
                <w:lang w:val="fr-FR"/>
              </w:rPr>
              <w:t xml:space="preserve"> et de BDD</w:t>
            </w:r>
            <w:r w:rsidR="00731631">
              <w:rPr>
                <w:sz w:val="22"/>
                <w:szCs w:val="22"/>
                <w:lang w:val="fr-FR"/>
              </w:rPr>
              <w:t xml:space="preserve"> existant</w:t>
            </w:r>
            <w:r>
              <w:rPr>
                <w:sz w:val="22"/>
                <w:szCs w:val="22"/>
                <w:lang w:val="fr-FR"/>
              </w:rPr>
              <w:t>s</w:t>
            </w:r>
            <w:r w:rsidR="00731631">
              <w:rPr>
                <w:sz w:val="22"/>
                <w:szCs w:val="22"/>
                <w:lang w:val="fr-FR"/>
              </w:rPr>
              <w:t xml:space="preserve"> ou en cours</w:t>
            </w:r>
          </w:p>
        </w:tc>
      </w:tr>
      <w:tr w:rsidR="008E53C9" w:rsidRPr="007920A9" w14:paraId="38BD41D7" w14:textId="77777777" w:rsidTr="00E81B63">
        <w:tc>
          <w:tcPr>
            <w:tcW w:w="1668" w:type="dxa"/>
            <w:vAlign w:val="center"/>
          </w:tcPr>
          <w:p w14:paraId="70CCFD5D" w14:textId="77777777" w:rsidR="008E53C9" w:rsidRPr="007920A9" w:rsidRDefault="008E53C9" w:rsidP="008E53C9">
            <w:pPr>
              <w:spacing w:after="0"/>
              <w:jc w:val="both"/>
              <w:rPr>
                <w:b/>
              </w:rPr>
            </w:pPr>
            <w:r w:rsidRPr="007920A9">
              <w:rPr>
                <w:b/>
              </w:rPr>
              <w:t>Coordination TIC au sein des agences</w:t>
            </w:r>
          </w:p>
        </w:tc>
        <w:tc>
          <w:tcPr>
            <w:tcW w:w="1559" w:type="dxa"/>
            <w:vAlign w:val="center"/>
          </w:tcPr>
          <w:p w14:paraId="0320D924" w14:textId="77777777" w:rsidR="008E53C9" w:rsidRPr="007920A9" w:rsidRDefault="008E53C9" w:rsidP="008E53C9">
            <w:pPr>
              <w:spacing w:after="0"/>
              <w:jc w:val="both"/>
            </w:pPr>
            <w:r w:rsidRPr="007920A9">
              <w:t>Moyennement élevée</w:t>
            </w:r>
          </w:p>
        </w:tc>
        <w:tc>
          <w:tcPr>
            <w:tcW w:w="1417" w:type="dxa"/>
            <w:tcBorders>
              <w:bottom w:val="single" w:sz="4" w:space="0" w:color="auto"/>
            </w:tcBorders>
            <w:shd w:val="clear" w:color="auto" w:fill="auto"/>
            <w:vAlign w:val="center"/>
          </w:tcPr>
          <w:p w14:paraId="1E36F367" w14:textId="29160BBF" w:rsidR="008E53C9" w:rsidRPr="00C96685" w:rsidRDefault="00E150B0" w:rsidP="008E53C9">
            <w:pPr>
              <w:spacing w:after="0"/>
              <w:jc w:val="both"/>
              <w:rPr>
                <w:b/>
                <w:highlight w:val="yellow"/>
              </w:rPr>
            </w:pPr>
            <w:r w:rsidRPr="00C96685">
              <w:rPr>
                <w:b/>
                <w:highlight w:val="yellow"/>
              </w:rPr>
              <w:t>JAUNE</w:t>
            </w:r>
            <w:r w:rsidR="00C96685" w:rsidRPr="00C96685">
              <w:rPr>
                <w:b/>
              </w:rPr>
              <w:t>/</w:t>
            </w:r>
            <w:r w:rsidR="00C96685" w:rsidRPr="00C96685">
              <w:rPr>
                <w:b/>
                <w:highlight w:val="yellow"/>
              </w:rPr>
              <w:t xml:space="preserve"> </w:t>
            </w:r>
            <w:r w:rsidR="00C96685" w:rsidRPr="00C96685">
              <w:rPr>
                <w:b/>
                <w:highlight w:val="green"/>
              </w:rPr>
              <w:t>VERT</w:t>
            </w:r>
          </w:p>
        </w:tc>
        <w:tc>
          <w:tcPr>
            <w:tcW w:w="4644" w:type="dxa"/>
            <w:vAlign w:val="center"/>
          </w:tcPr>
          <w:p w14:paraId="29A0B688" w14:textId="77777777" w:rsidR="008E53C9" w:rsidRPr="00731631" w:rsidRDefault="00731631" w:rsidP="008E53C9">
            <w:pPr>
              <w:spacing w:after="0"/>
              <w:jc w:val="both"/>
            </w:pPr>
            <w:r w:rsidRPr="00731631">
              <w:t>Il n’y a pas de mécanisme de coordination en place pour les services TIC. Cette absence de coordination amène une grande hétérogénéité des solutions informatiques adoptées (site web, portail de données) et une duplication des efforts dans l’évaluation et le choix de solutions.</w:t>
            </w:r>
          </w:p>
          <w:p w14:paraId="3D24682C" w14:textId="4E6C367B" w:rsidR="00731631" w:rsidRPr="007920A9" w:rsidRDefault="00731631" w:rsidP="008E53C9">
            <w:pPr>
              <w:spacing w:after="0"/>
              <w:jc w:val="both"/>
            </w:pPr>
            <w:r w:rsidRPr="00731631">
              <w:t>Cependant, tous les grands projets et notamment le plan d’action OGP sont implémentés au travers de comité de pilotage interministériels qui en assure la coordination.</w:t>
            </w:r>
          </w:p>
        </w:tc>
      </w:tr>
      <w:tr w:rsidR="008E53C9" w:rsidRPr="007920A9" w14:paraId="7E2C4833" w14:textId="77777777" w:rsidTr="00E81B63">
        <w:tc>
          <w:tcPr>
            <w:tcW w:w="1668" w:type="dxa"/>
            <w:tcBorders>
              <w:bottom w:val="single" w:sz="4" w:space="0" w:color="auto"/>
            </w:tcBorders>
            <w:vAlign w:val="center"/>
          </w:tcPr>
          <w:p w14:paraId="4F93B77C" w14:textId="77777777" w:rsidR="008E53C9" w:rsidRPr="007920A9" w:rsidRDefault="008E53C9" w:rsidP="008E53C9">
            <w:pPr>
              <w:spacing w:after="0"/>
              <w:jc w:val="both"/>
              <w:rPr>
                <w:b/>
              </w:rPr>
            </w:pPr>
            <w:r w:rsidRPr="007920A9">
              <w:rPr>
                <w:b/>
              </w:rPr>
              <w:t>Mesure des performances</w:t>
            </w:r>
          </w:p>
        </w:tc>
        <w:tc>
          <w:tcPr>
            <w:tcW w:w="1559" w:type="dxa"/>
            <w:tcBorders>
              <w:bottom w:val="single" w:sz="4" w:space="0" w:color="auto"/>
            </w:tcBorders>
            <w:vAlign w:val="center"/>
          </w:tcPr>
          <w:p w14:paraId="70F2FCD7" w14:textId="77777777" w:rsidR="008E53C9" w:rsidRPr="007920A9" w:rsidRDefault="008E53C9" w:rsidP="008E53C9">
            <w:pPr>
              <w:spacing w:after="0"/>
              <w:jc w:val="both"/>
            </w:pPr>
            <w:r w:rsidRPr="007920A9">
              <w:t>Moyenne</w:t>
            </w:r>
          </w:p>
        </w:tc>
        <w:tc>
          <w:tcPr>
            <w:tcW w:w="1417" w:type="dxa"/>
            <w:tcBorders>
              <w:bottom w:val="single" w:sz="4" w:space="0" w:color="auto"/>
            </w:tcBorders>
            <w:shd w:val="clear" w:color="auto" w:fill="auto"/>
            <w:vAlign w:val="center"/>
          </w:tcPr>
          <w:p w14:paraId="34DABA6B" w14:textId="06EE177C" w:rsidR="008E53C9" w:rsidRPr="00E150B0" w:rsidRDefault="00E150B0" w:rsidP="008E53C9">
            <w:pPr>
              <w:spacing w:after="0"/>
              <w:jc w:val="both"/>
              <w:rPr>
                <w:b/>
                <w:highlight w:val="yellow"/>
              </w:rPr>
            </w:pPr>
            <w:r w:rsidRPr="00E150B0">
              <w:rPr>
                <w:b/>
                <w:highlight w:val="yellow"/>
              </w:rPr>
              <w:t>JAUNE</w:t>
            </w:r>
          </w:p>
        </w:tc>
        <w:tc>
          <w:tcPr>
            <w:tcW w:w="4644" w:type="dxa"/>
            <w:vAlign w:val="center"/>
          </w:tcPr>
          <w:p w14:paraId="0026C674" w14:textId="77777777" w:rsidR="00731631" w:rsidRPr="00731631" w:rsidRDefault="00731631" w:rsidP="008E53C9">
            <w:pPr>
              <w:spacing w:after="0"/>
              <w:jc w:val="both"/>
            </w:pPr>
            <w:r w:rsidRPr="00731631">
              <w:t>Il n’a pas été identifié de processus en place pour la mesure des performances des agences.</w:t>
            </w:r>
          </w:p>
          <w:p w14:paraId="462E6D84" w14:textId="7F643256" w:rsidR="008E53C9" w:rsidRPr="00731631" w:rsidRDefault="00731631" w:rsidP="008E53C9">
            <w:pPr>
              <w:spacing w:after="0"/>
              <w:jc w:val="both"/>
            </w:pPr>
            <w:r w:rsidRPr="00731631">
              <w:t xml:space="preserve">Un projet, porté par la DGRPA, de tableau de bord de la perception par les usagers de la qualité des services publiques est en cours d’élaboration mais au niveau conceptuel actuellement   </w:t>
            </w:r>
          </w:p>
        </w:tc>
      </w:tr>
      <w:tr w:rsidR="008E53C9" w:rsidRPr="007920A9" w14:paraId="4B428F65" w14:textId="77777777" w:rsidTr="00E81B63">
        <w:tc>
          <w:tcPr>
            <w:tcW w:w="1668" w:type="dxa"/>
            <w:tcBorders>
              <w:bottom w:val="single" w:sz="4" w:space="0" w:color="auto"/>
            </w:tcBorders>
            <w:vAlign w:val="center"/>
          </w:tcPr>
          <w:p w14:paraId="03DAD846" w14:textId="77777777" w:rsidR="008E53C9" w:rsidRPr="007920A9" w:rsidRDefault="008E53C9" w:rsidP="008E53C9">
            <w:pPr>
              <w:spacing w:after="0"/>
              <w:jc w:val="both"/>
              <w:rPr>
                <w:b/>
              </w:rPr>
            </w:pPr>
            <w:r w:rsidRPr="007920A9">
              <w:rPr>
                <w:b/>
              </w:rPr>
              <w:t>Statistique</w:t>
            </w:r>
          </w:p>
        </w:tc>
        <w:tc>
          <w:tcPr>
            <w:tcW w:w="1559" w:type="dxa"/>
            <w:tcBorders>
              <w:bottom w:val="single" w:sz="4" w:space="0" w:color="auto"/>
            </w:tcBorders>
            <w:vAlign w:val="center"/>
          </w:tcPr>
          <w:p w14:paraId="7DA79FC3" w14:textId="77777777" w:rsidR="008E53C9" w:rsidRPr="007920A9" w:rsidRDefault="008E53C9" w:rsidP="008E53C9">
            <w:pPr>
              <w:spacing w:after="0"/>
              <w:jc w:val="both"/>
            </w:pPr>
            <w:r w:rsidRPr="007920A9">
              <w:t>Moyenne</w:t>
            </w:r>
          </w:p>
        </w:tc>
        <w:tc>
          <w:tcPr>
            <w:tcW w:w="1417" w:type="dxa"/>
            <w:shd w:val="clear" w:color="auto" w:fill="auto"/>
            <w:vAlign w:val="center"/>
          </w:tcPr>
          <w:p w14:paraId="22A8EDBC" w14:textId="77777777" w:rsidR="008E53C9" w:rsidRPr="007920A9" w:rsidRDefault="008E53C9" w:rsidP="008E53C9">
            <w:pPr>
              <w:spacing w:after="0"/>
              <w:jc w:val="both"/>
              <w:rPr>
                <w:highlight w:val="yellow"/>
              </w:rPr>
            </w:pPr>
            <w:r w:rsidRPr="007920A9">
              <w:rPr>
                <w:b/>
                <w:bCs/>
                <w:highlight w:val="green"/>
              </w:rPr>
              <w:t>VERT</w:t>
            </w:r>
          </w:p>
        </w:tc>
        <w:tc>
          <w:tcPr>
            <w:tcW w:w="4644" w:type="dxa"/>
            <w:vAlign w:val="center"/>
          </w:tcPr>
          <w:p w14:paraId="45B4FC5F" w14:textId="1839DB40" w:rsidR="008E53C9" w:rsidRPr="007920A9" w:rsidRDefault="008E53C9" w:rsidP="008E53C9">
            <w:pPr>
              <w:spacing w:after="0"/>
              <w:jc w:val="both"/>
            </w:pPr>
            <w:r w:rsidRPr="007920A9">
              <w:t>L’INS génère et publi</w:t>
            </w:r>
            <w:r w:rsidR="00733310">
              <w:t>e</w:t>
            </w:r>
            <w:r w:rsidRPr="007920A9">
              <w:t xml:space="preserve"> les différentes statistiques. Le classement mondial de l’INS au regard des données ouvertes est excellent</w:t>
            </w:r>
          </w:p>
        </w:tc>
      </w:tr>
      <w:tr w:rsidR="008E53C9" w:rsidRPr="007920A9" w14:paraId="1F623AFF" w14:textId="77777777" w:rsidTr="00E81B63">
        <w:tc>
          <w:tcPr>
            <w:tcW w:w="1668" w:type="dxa"/>
            <w:tcBorders>
              <w:bottom w:val="single" w:sz="4" w:space="0" w:color="auto"/>
            </w:tcBorders>
            <w:vAlign w:val="center"/>
          </w:tcPr>
          <w:p w14:paraId="5383E916" w14:textId="77777777" w:rsidR="008E53C9" w:rsidRPr="007920A9" w:rsidRDefault="008E53C9" w:rsidP="008E53C9">
            <w:pPr>
              <w:spacing w:after="0"/>
              <w:jc w:val="both"/>
              <w:rPr>
                <w:rFonts w:cs="Times New Roman"/>
                <w:b/>
              </w:rPr>
            </w:pPr>
            <w:r w:rsidRPr="007920A9">
              <w:rPr>
                <w:rFonts w:cs="Times New Roman"/>
                <w:b/>
              </w:rPr>
              <w:t>Résistance à l’ouverture des données</w:t>
            </w:r>
          </w:p>
        </w:tc>
        <w:tc>
          <w:tcPr>
            <w:tcW w:w="1559" w:type="dxa"/>
            <w:tcBorders>
              <w:bottom w:val="single" w:sz="4" w:space="0" w:color="auto"/>
            </w:tcBorders>
            <w:vAlign w:val="center"/>
          </w:tcPr>
          <w:p w14:paraId="0691D134" w14:textId="77777777" w:rsidR="008E53C9" w:rsidRPr="007920A9" w:rsidRDefault="008E53C9" w:rsidP="008E53C9">
            <w:pPr>
              <w:spacing w:after="0"/>
              <w:jc w:val="both"/>
              <w:rPr>
                <w:b/>
                <w:bCs/>
              </w:rPr>
            </w:pPr>
            <w:r w:rsidRPr="007920A9">
              <w:rPr>
                <w:b/>
                <w:bCs/>
              </w:rPr>
              <w:t>Élevée</w:t>
            </w:r>
          </w:p>
        </w:tc>
        <w:tc>
          <w:tcPr>
            <w:tcW w:w="1417" w:type="dxa"/>
            <w:shd w:val="clear" w:color="auto" w:fill="auto"/>
            <w:vAlign w:val="center"/>
          </w:tcPr>
          <w:p w14:paraId="2313740F" w14:textId="700891F2" w:rsidR="008E53C9" w:rsidRPr="007920A9" w:rsidRDefault="00731631" w:rsidP="008E53C9">
            <w:pPr>
              <w:spacing w:after="0"/>
              <w:jc w:val="both"/>
              <w:rPr>
                <w:b/>
                <w:bCs/>
                <w:highlight w:val="lightGray"/>
              </w:rPr>
            </w:pPr>
            <w:r w:rsidRPr="00731631">
              <w:rPr>
                <w:b/>
                <w:bCs/>
                <w:highlight w:val="yellow"/>
              </w:rPr>
              <w:t>JAUNE</w:t>
            </w:r>
            <w:r w:rsidRPr="00731631">
              <w:rPr>
                <w:b/>
                <w:bCs/>
              </w:rPr>
              <w:t xml:space="preserve">/ </w:t>
            </w:r>
            <w:r w:rsidR="00280EE0" w:rsidRPr="007920A9">
              <w:rPr>
                <w:b/>
                <w:bCs/>
                <w:highlight w:val="green"/>
              </w:rPr>
              <w:t>VERT</w:t>
            </w:r>
          </w:p>
        </w:tc>
        <w:tc>
          <w:tcPr>
            <w:tcW w:w="4644" w:type="dxa"/>
            <w:vAlign w:val="center"/>
          </w:tcPr>
          <w:p w14:paraId="3C5837D2" w14:textId="7E9CDD18" w:rsidR="008E53C9" w:rsidRPr="007920A9" w:rsidRDefault="008E53C9" w:rsidP="008E53C9">
            <w:pPr>
              <w:spacing w:after="0"/>
              <w:jc w:val="both"/>
            </w:pPr>
            <w:r w:rsidRPr="007920A9">
              <w:t xml:space="preserve">La transparence est au cœur de l’administration depuis la révolution de 2011 et </w:t>
            </w:r>
            <w:r w:rsidR="00733310">
              <w:t>i</w:t>
            </w:r>
            <w:r w:rsidRPr="007920A9">
              <w:t>l n’a pas été identifié de résistance à l’ouverture des données</w:t>
            </w:r>
            <w:r w:rsidR="00731631">
              <w:t>. Toutefois le manque de sensibilisation à l’open data et la culture historique du secret sont des freins</w:t>
            </w:r>
          </w:p>
        </w:tc>
      </w:tr>
      <w:tr w:rsidR="008E53C9" w:rsidRPr="007920A9" w14:paraId="78CA18EF" w14:textId="77777777" w:rsidTr="00E81B63">
        <w:tc>
          <w:tcPr>
            <w:tcW w:w="1668" w:type="dxa"/>
            <w:tcBorders>
              <w:bottom w:val="single" w:sz="4" w:space="0" w:color="auto"/>
            </w:tcBorders>
            <w:vAlign w:val="center"/>
          </w:tcPr>
          <w:p w14:paraId="167E1BF6" w14:textId="77777777" w:rsidR="008E53C9" w:rsidRPr="007920A9" w:rsidRDefault="008E53C9" w:rsidP="008E53C9">
            <w:pPr>
              <w:spacing w:after="0"/>
              <w:jc w:val="both"/>
              <w:rPr>
                <w:rFonts w:cs="Times New Roman"/>
                <w:b/>
              </w:rPr>
            </w:pPr>
            <w:r w:rsidRPr="007920A9">
              <w:rPr>
                <w:rFonts w:cs="Times New Roman"/>
                <w:b/>
              </w:rPr>
              <w:t>Utilisation des TIC au sein du gouvernement</w:t>
            </w:r>
          </w:p>
        </w:tc>
        <w:tc>
          <w:tcPr>
            <w:tcW w:w="1559" w:type="dxa"/>
            <w:tcBorders>
              <w:bottom w:val="single" w:sz="4" w:space="0" w:color="auto"/>
            </w:tcBorders>
            <w:vAlign w:val="center"/>
          </w:tcPr>
          <w:p w14:paraId="7F035F3D" w14:textId="77777777" w:rsidR="008E53C9" w:rsidRPr="007920A9" w:rsidRDefault="008E53C9" w:rsidP="008E53C9">
            <w:pPr>
              <w:spacing w:after="0"/>
              <w:jc w:val="both"/>
              <w:rPr>
                <w:b/>
                <w:bCs/>
              </w:rPr>
            </w:pPr>
            <w:r w:rsidRPr="007920A9">
              <w:rPr>
                <w:b/>
                <w:bCs/>
              </w:rPr>
              <w:t>Élevée</w:t>
            </w:r>
          </w:p>
        </w:tc>
        <w:tc>
          <w:tcPr>
            <w:tcW w:w="1417" w:type="dxa"/>
            <w:shd w:val="clear" w:color="auto" w:fill="auto"/>
            <w:vAlign w:val="center"/>
          </w:tcPr>
          <w:p w14:paraId="3F69B42D" w14:textId="735C7DD7" w:rsidR="008E53C9" w:rsidRPr="007920A9" w:rsidRDefault="00731631" w:rsidP="008E53C9">
            <w:pPr>
              <w:spacing w:after="0"/>
              <w:jc w:val="both"/>
              <w:rPr>
                <w:b/>
                <w:bCs/>
                <w:highlight w:val="lightGray"/>
              </w:rPr>
            </w:pPr>
            <w:r w:rsidRPr="00731631">
              <w:rPr>
                <w:b/>
                <w:bCs/>
                <w:highlight w:val="yellow"/>
              </w:rPr>
              <w:t>JAUNE</w:t>
            </w:r>
          </w:p>
        </w:tc>
        <w:tc>
          <w:tcPr>
            <w:tcW w:w="4644" w:type="dxa"/>
            <w:vAlign w:val="center"/>
          </w:tcPr>
          <w:p w14:paraId="5531F67E" w14:textId="1027BC0E" w:rsidR="008E53C9" w:rsidRPr="007920A9" w:rsidRDefault="004A704E" w:rsidP="008E53C9">
            <w:pPr>
              <w:spacing w:after="0"/>
              <w:jc w:val="both"/>
            </w:pPr>
            <w:r w:rsidRPr="004A704E">
              <w:t>Toutes les structures rencontrées ont une équipe informatique qui gère notamment les SI, les sites Web et le cas échéant les portails de données. De nombreux ministères sont en cours de conception ou de déploiement de SI. Mais de nombreuses structures n’en ont aucun. Il existe une importante hétérogénéité entre les ministères, certains continuant d’utiliser le format papier pour par exemple les échanges de données avec l’INS</w:t>
            </w:r>
          </w:p>
        </w:tc>
      </w:tr>
      <w:tr w:rsidR="008E53C9" w:rsidRPr="007920A9" w14:paraId="46F5574A" w14:textId="77777777" w:rsidTr="00E81B63">
        <w:tc>
          <w:tcPr>
            <w:tcW w:w="1668" w:type="dxa"/>
            <w:tcBorders>
              <w:bottom w:val="single" w:sz="4" w:space="0" w:color="auto"/>
            </w:tcBorders>
            <w:vAlign w:val="center"/>
          </w:tcPr>
          <w:p w14:paraId="7C2B8EDE" w14:textId="77777777" w:rsidR="008E53C9" w:rsidRPr="007920A9" w:rsidRDefault="008E53C9" w:rsidP="008E53C9">
            <w:pPr>
              <w:spacing w:after="0"/>
              <w:jc w:val="both"/>
              <w:rPr>
                <w:b/>
                <w:bCs/>
              </w:rPr>
            </w:pPr>
            <w:r w:rsidRPr="007920A9">
              <w:rPr>
                <w:b/>
                <w:bCs/>
              </w:rPr>
              <w:t>Présence sur le web</w:t>
            </w:r>
          </w:p>
        </w:tc>
        <w:tc>
          <w:tcPr>
            <w:tcW w:w="1559" w:type="dxa"/>
            <w:tcBorders>
              <w:bottom w:val="single" w:sz="4" w:space="0" w:color="auto"/>
            </w:tcBorders>
            <w:vAlign w:val="center"/>
          </w:tcPr>
          <w:p w14:paraId="2E14D934" w14:textId="77777777" w:rsidR="008E53C9" w:rsidRPr="007920A9" w:rsidRDefault="008E53C9" w:rsidP="008E53C9">
            <w:pPr>
              <w:spacing w:after="0"/>
              <w:jc w:val="both"/>
              <w:rPr>
                <w:b/>
                <w:bCs/>
              </w:rPr>
            </w:pPr>
            <w:r w:rsidRPr="007920A9">
              <w:t>Moyenne</w:t>
            </w:r>
          </w:p>
        </w:tc>
        <w:tc>
          <w:tcPr>
            <w:tcW w:w="1417" w:type="dxa"/>
            <w:shd w:val="clear" w:color="auto" w:fill="auto"/>
            <w:vAlign w:val="center"/>
          </w:tcPr>
          <w:p w14:paraId="70DD71C9" w14:textId="04CF0D56" w:rsidR="008E53C9" w:rsidRPr="007920A9" w:rsidRDefault="00731631" w:rsidP="008E53C9">
            <w:pPr>
              <w:spacing w:after="0"/>
              <w:jc w:val="both"/>
              <w:rPr>
                <w:b/>
                <w:bCs/>
                <w:highlight w:val="red"/>
              </w:rPr>
            </w:pPr>
            <w:r w:rsidRPr="00731631">
              <w:rPr>
                <w:b/>
                <w:bCs/>
              </w:rPr>
              <w:t xml:space="preserve"> </w:t>
            </w:r>
            <w:r w:rsidRPr="007920A9">
              <w:rPr>
                <w:b/>
                <w:bCs/>
                <w:highlight w:val="green"/>
              </w:rPr>
              <w:t>VERT</w:t>
            </w:r>
          </w:p>
        </w:tc>
        <w:tc>
          <w:tcPr>
            <w:tcW w:w="4644" w:type="dxa"/>
            <w:vAlign w:val="center"/>
          </w:tcPr>
          <w:p w14:paraId="7A631A50" w14:textId="5073617B" w:rsidR="008E53C9" w:rsidRPr="007920A9" w:rsidRDefault="008E53C9" w:rsidP="008E53C9">
            <w:pPr>
              <w:spacing w:after="0"/>
              <w:jc w:val="both"/>
            </w:pPr>
            <w:r w:rsidRPr="007920A9">
              <w:t xml:space="preserve">Toutes les </w:t>
            </w:r>
            <w:r w:rsidR="000E2B23">
              <w:t>organismes publics</w:t>
            </w:r>
            <w:r w:rsidR="000E2B23" w:rsidRPr="007920A9">
              <w:t xml:space="preserve"> </w:t>
            </w:r>
            <w:r w:rsidRPr="007920A9">
              <w:t xml:space="preserve">ont un site web en français et </w:t>
            </w:r>
            <w:r w:rsidR="00733310">
              <w:t xml:space="preserve">en </w:t>
            </w:r>
            <w:r w:rsidRPr="007920A9">
              <w:t>arabe</w:t>
            </w:r>
            <w:r w:rsidR="00733310">
              <w:t>,</w:t>
            </w:r>
            <w:r w:rsidRPr="007920A9">
              <w:t xml:space="preserve"> voire en anglais. Les sites sont pour la plupart très régulièrement </w:t>
            </w:r>
            <w:r w:rsidR="00733310">
              <w:t xml:space="preserve">mis </w:t>
            </w:r>
            <w:r w:rsidRPr="007920A9">
              <w:t>à jour</w:t>
            </w:r>
          </w:p>
        </w:tc>
      </w:tr>
      <w:tr w:rsidR="008E53C9" w:rsidRPr="007920A9" w14:paraId="374F1C44" w14:textId="77777777" w:rsidTr="00E81B63">
        <w:tc>
          <w:tcPr>
            <w:tcW w:w="1668" w:type="dxa"/>
            <w:shd w:val="clear" w:color="auto" w:fill="auto"/>
            <w:vAlign w:val="center"/>
          </w:tcPr>
          <w:p w14:paraId="4D227ED5" w14:textId="77777777" w:rsidR="008E53C9" w:rsidRPr="007920A9" w:rsidRDefault="008E53C9" w:rsidP="008E53C9">
            <w:pPr>
              <w:spacing w:after="0"/>
              <w:jc w:val="both"/>
              <w:rPr>
                <w:b/>
              </w:rPr>
            </w:pPr>
            <w:r w:rsidRPr="007920A9">
              <w:rPr>
                <w:b/>
              </w:rPr>
              <w:t>Résultat Global</w:t>
            </w:r>
          </w:p>
        </w:tc>
        <w:tc>
          <w:tcPr>
            <w:tcW w:w="1559" w:type="dxa"/>
            <w:shd w:val="clear" w:color="auto" w:fill="auto"/>
            <w:vAlign w:val="center"/>
          </w:tcPr>
          <w:p w14:paraId="3F68A020" w14:textId="77777777" w:rsidR="008E53C9" w:rsidRPr="007920A9" w:rsidRDefault="008E53C9" w:rsidP="008E53C9">
            <w:pPr>
              <w:spacing w:after="0"/>
              <w:jc w:val="both"/>
              <w:rPr>
                <w:b/>
              </w:rPr>
            </w:pPr>
            <w:r w:rsidRPr="007920A9">
              <w:rPr>
                <w:b/>
                <w:bCs/>
              </w:rPr>
              <w:t>Élevée</w:t>
            </w:r>
          </w:p>
        </w:tc>
        <w:tc>
          <w:tcPr>
            <w:tcW w:w="1417" w:type="dxa"/>
            <w:shd w:val="clear" w:color="auto" w:fill="auto"/>
            <w:vAlign w:val="center"/>
          </w:tcPr>
          <w:p w14:paraId="2BD3B0EF" w14:textId="3CDFCDEA" w:rsidR="008E53C9" w:rsidRPr="007920A9" w:rsidRDefault="00731631" w:rsidP="008E53C9">
            <w:pPr>
              <w:spacing w:after="0"/>
              <w:jc w:val="both"/>
              <w:rPr>
                <w:b/>
                <w:highlight w:val="yellow"/>
              </w:rPr>
            </w:pPr>
            <w:r w:rsidRPr="00731631">
              <w:rPr>
                <w:b/>
                <w:bCs/>
                <w:highlight w:val="yellow"/>
              </w:rPr>
              <w:t>JAUNE</w:t>
            </w:r>
            <w:r w:rsidR="009E3EC3" w:rsidRPr="009E3EC3">
              <w:rPr>
                <w:b/>
                <w:bCs/>
              </w:rPr>
              <w:t>/</w:t>
            </w:r>
            <w:r w:rsidR="009E3EC3">
              <w:rPr>
                <w:b/>
                <w:bCs/>
                <w:highlight w:val="yellow"/>
              </w:rPr>
              <w:t xml:space="preserve"> </w:t>
            </w:r>
            <w:r w:rsidR="009E3EC3" w:rsidRPr="009E3EC3">
              <w:rPr>
                <w:b/>
                <w:bCs/>
                <w:highlight w:val="green"/>
              </w:rPr>
              <w:t>VERT</w:t>
            </w:r>
          </w:p>
        </w:tc>
        <w:tc>
          <w:tcPr>
            <w:tcW w:w="4644" w:type="dxa"/>
            <w:vAlign w:val="center"/>
          </w:tcPr>
          <w:p w14:paraId="1ECE106F" w14:textId="4BAD11D6" w:rsidR="008E53C9" w:rsidRDefault="008E53C9" w:rsidP="008E53C9">
            <w:pPr>
              <w:spacing w:after="0"/>
              <w:jc w:val="both"/>
            </w:pPr>
            <w:r w:rsidRPr="007920A9">
              <w:t>Les structures en place et leur efficacité en pratique fournissent un cadre adapté à la mise en place d’une initiative d’ouverture des données</w:t>
            </w:r>
            <w:r w:rsidR="004A704E">
              <w:t>. Le fait que le gouvernement travail</w:t>
            </w:r>
            <w:r w:rsidR="00733310">
              <w:t>le</w:t>
            </w:r>
            <w:r w:rsidR="004A704E">
              <w:t xml:space="preserve"> naturellement de façon transversale sur les grands projets est un atout important. Cependant l’Open Data n’est pas à ce jour considéré comme un projet national et n’a pas de comité de pilotage.</w:t>
            </w:r>
          </w:p>
          <w:p w14:paraId="73379B56" w14:textId="2BBCD503" w:rsidR="004A704E" w:rsidRPr="007920A9" w:rsidRDefault="004A704E" w:rsidP="008E53C9">
            <w:pPr>
              <w:spacing w:after="0"/>
              <w:jc w:val="both"/>
            </w:pPr>
            <w:r>
              <w:t xml:space="preserve">L’hétérogénéité des ministères concernant </w:t>
            </w:r>
            <w:r w:rsidR="006B5D45">
              <w:t>les capacités</w:t>
            </w:r>
            <w:r>
              <w:t xml:space="preserve"> et les SI sera </w:t>
            </w:r>
            <w:r w:rsidR="00733310">
              <w:t xml:space="preserve">un </w:t>
            </w:r>
            <w:r>
              <w:t xml:space="preserve">défi pour l’extension d’un projet Open Data à l’ensemble des structures. </w:t>
            </w:r>
          </w:p>
        </w:tc>
      </w:tr>
    </w:tbl>
    <w:p w14:paraId="70FC3770" w14:textId="77777777" w:rsidR="00E81B63" w:rsidRPr="007920A9" w:rsidRDefault="00E81B63" w:rsidP="00026C12">
      <w:pPr>
        <w:jc w:val="both"/>
        <w:rPr>
          <w:rFonts w:asciiTheme="majorHAnsi" w:eastAsiaTheme="majorEastAsia" w:hAnsiTheme="majorHAnsi" w:cstheme="majorBidi"/>
          <w:b/>
          <w:bCs/>
          <w:caps/>
          <w:sz w:val="28"/>
          <w:szCs w:val="28"/>
        </w:rPr>
      </w:pPr>
    </w:p>
    <w:p w14:paraId="16E7C29E" w14:textId="77777777" w:rsidR="00E81B63" w:rsidRPr="007920A9" w:rsidRDefault="00E81B63" w:rsidP="00026C12">
      <w:pPr>
        <w:jc w:val="both"/>
        <w:rPr>
          <w:rFonts w:asciiTheme="majorHAnsi" w:eastAsiaTheme="majorEastAsia" w:hAnsiTheme="majorHAnsi" w:cstheme="majorBidi"/>
          <w:b/>
          <w:bCs/>
          <w:caps/>
          <w:color w:val="FFFFFF" w:themeColor="background1"/>
          <w:sz w:val="28"/>
          <w:szCs w:val="28"/>
        </w:rPr>
      </w:pPr>
      <w:r w:rsidRPr="007920A9">
        <w:rPr>
          <w:rFonts w:asciiTheme="majorHAnsi" w:eastAsiaTheme="majorEastAsia" w:hAnsiTheme="majorHAnsi" w:cstheme="majorBidi"/>
          <w:b/>
          <w:bCs/>
          <w:caps/>
          <w:color w:val="FFFFFF" w:themeColor="background1"/>
          <w:sz w:val="28"/>
          <w:szCs w:val="28"/>
        </w:rPr>
        <w:br w:type="page"/>
      </w:r>
    </w:p>
    <w:p w14:paraId="5421F5D9" w14:textId="77777777" w:rsidR="004C2C41" w:rsidRPr="007920A9" w:rsidRDefault="008B3687" w:rsidP="00026C12">
      <w:pPr>
        <w:pStyle w:val="Titre1"/>
        <w:jc w:val="both"/>
      </w:pPr>
      <w:bookmarkStart w:id="20" w:name="_Toc459307838"/>
      <w:bookmarkStart w:id="21" w:name="_Toc496544779"/>
      <w:r w:rsidRPr="007920A9">
        <w:t>Données</w:t>
      </w:r>
      <w:r w:rsidR="004C2C41" w:rsidRPr="007920A9">
        <w:t xml:space="preserve"> au sein du gouvernement, Réglementations et procédures </w:t>
      </w:r>
      <w:r w:rsidRPr="007920A9">
        <w:t>de la gestion</w:t>
      </w:r>
      <w:r w:rsidR="004C2C41" w:rsidRPr="007920A9">
        <w:t xml:space="preserve"> des données gouvernementales</w:t>
      </w:r>
      <w:bookmarkEnd w:id="20"/>
      <w:bookmarkEnd w:id="21"/>
    </w:p>
    <w:p w14:paraId="35E1667E" w14:textId="091CE124" w:rsidR="00A50FAC" w:rsidRPr="007920A9" w:rsidRDefault="00A50FAC" w:rsidP="00026C12">
      <w:pPr>
        <w:autoSpaceDE w:val="0"/>
        <w:autoSpaceDN w:val="0"/>
        <w:adjustRightInd w:val="0"/>
        <w:spacing w:after="0" w:line="240" w:lineRule="auto"/>
        <w:jc w:val="both"/>
        <w:rPr>
          <w:bCs/>
          <w:sz w:val="24"/>
        </w:rPr>
      </w:pPr>
      <w:r w:rsidRPr="007920A9">
        <w:rPr>
          <w:bCs/>
          <w:sz w:val="24"/>
        </w:rPr>
        <w:t>Une analyse des jeux de données actuel</w:t>
      </w:r>
      <w:r w:rsidR="00990EC4">
        <w:rPr>
          <w:bCs/>
          <w:sz w:val="24"/>
        </w:rPr>
        <w:t>lement disponible est fournie dans l’A</w:t>
      </w:r>
      <w:r w:rsidRPr="007920A9">
        <w:rPr>
          <w:bCs/>
          <w:sz w:val="24"/>
        </w:rPr>
        <w:t xml:space="preserve">nnexe </w:t>
      </w:r>
      <w:r w:rsidR="00990EC4">
        <w:rPr>
          <w:bCs/>
          <w:sz w:val="24"/>
        </w:rPr>
        <w:t xml:space="preserve">C </w:t>
      </w:r>
      <w:r w:rsidRPr="007920A9">
        <w:rPr>
          <w:bCs/>
          <w:sz w:val="24"/>
        </w:rPr>
        <w:t>de ce document</w:t>
      </w:r>
    </w:p>
    <w:p w14:paraId="2325AF64" w14:textId="77777777" w:rsidR="00A50FAC" w:rsidRPr="007920A9" w:rsidRDefault="00A50FAC" w:rsidP="00026C12">
      <w:pPr>
        <w:autoSpaceDE w:val="0"/>
        <w:autoSpaceDN w:val="0"/>
        <w:adjustRightInd w:val="0"/>
        <w:spacing w:after="0" w:line="240" w:lineRule="auto"/>
        <w:jc w:val="both"/>
        <w:rPr>
          <w:b/>
          <w:bCs/>
        </w:rPr>
      </w:pPr>
    </w:p>
    <w:p w14:paraId="77C64AF8" w14:textId="3289C9AA" w:rsidR="004C2C41" w:rsidRPr="007920A9" w:rsidRDefault="004C2C41" w:rsidP="00026C12">
      <w:pPr>
        <w:autoSpaceDE w:val="0"/>
        <w:autoSpaceDN w:val="0"/>
        <w:adjustRightInd w:val="0"/>
        <w:spacing w:after="0" w:line="240" w:lineRule="auto"/>
        <w:jc w:val="both"/>
        <w:rPr>
          <w:rFonts w:cs="Times New Roman"/>
          <w:b/>
          <w:sz w:val="24"/>
        </w:rPr>
      </w:pPr>
      <w:r w:rsidRPr="007920A9">
        <w:rPr>
          <w:b/>
          <w:bCs/>
          <w:sz w:val="24"/>
        </w:rPr>
        <w:t>4.1 Quelles sont les réglementations / lois sur la gestion de l'information gouvernementale ? (Importance: Élevée)</w:t>
      </w:r>
      <w:r w:rsidR="00D6153B" w:rsidRPr="007920A9">
        <w:rPr>
          <w:b/>
          <w:bCs/>
          <w:sz w:val="24"/>
        </w:rPr>
        <w:t xml:space="preserve"> </w:t>
      </w:r>
      <w:r w:rsidR="002679A3" w:rsidRPr="002679A3">
        <w:rPr>
          <w:b/>
          <w:bCs/>
          <w:sz w:val="24"/>
          <w:highlight w:val="yellow"/>
        </w:rPr>
        <w:t>JAUNE</w:t>
      </w:r>
    </w:p>
    <w:p w14:paraId="0D36FC6A" w14:textId="77777777" w:rsidR="004C2C41" w:rsidRPr="007920A9" w:rsidRDefault="008B3687" w:rsidP="001C539E">
      <w:pPr>
        <w:pStyle w:val="Paragraphedeliste"/>
        <w:numPr>
          <w:ilvl w:val="0"/>
          <w:numId w:val="15"/>
        </w:numPr>
        <w:jc w:val="both"/>
        <w:rPr>
          <w:bCs/>
          <w:sz w:val="24"/>
        </w:rPr>
      </w:pPr>
      <w:r w:rsidRPr="007920A9">
        <w:rPr>
          <w:bCs/>
          <w:sz w:val="24"/>
        </w:rPr>
        <w:t>L’information publiée doit être disponible en français et en arabe</w:t>
      </w:r>
    </w:p>
    <w:p w14:paraId="117E2CC7" w14:textId="1D8DE1BB" w:rsidR="008B3687" w:rsidRPr="00274F81" w:rsidRDefault="008B3687" w:rsidP="001C539E">
      <w:pPr>
        <w:pStyle w:val="Paragraphedeliste"/>
        <w:numPr>
          <w:ilvl w:val="0"/>
          <w:numId w:val="16"/>
        </w:numPr>
        <w:jc w:val="both"/>
        <w:rPr>
          <w:bCs/>
          <w:sz w:val="24"/>
        </w:rPr>
      </w:pPr>
      <w:r w:rsidRPr="007920A9">
        <w:rPr>
          <w:bCs/>
          <w:sz w:val="24"/>
        </w:rPr>
        <w:t>Il n’y a pas de cadre d’interopérabilité des formats données encore définit</w:t>
      </w:r>
      <w:r w:rsidR="00D6153B" w:rsidRPr="007920A9">
        <w:rPr>
          <w:bCs/>
          <w:sz w:val="24"/>
        </w:rPr>
        <w:t xml:space="preserve">. </w:t>
      </w:r>
    </w:p>
    <w:p w14:paraId="67199773" w14:textId="7C03294D" w:rsidR="00274F81" w:rsidRPr="001B6DD5" w:rsidRDefault="00274F81" w:rsidP="00D5699E">
      <w:pPr>
        <w:pStyle w:val="Paragraphedeliste"/>
        <w:numPr>
          <w:ilvl w:val="0"/>
          <w:numId w:val="74"/>
        </w:numPr>
        <w:jc w:val="both"/>
        <w:rPr>
          <w:bCs/>
          <w:sz w:val="28"/>
        </w:rPr>
      </w:pPr>
      <w:r w:rsidRPr="00C26C2C">
        <w:rPr>
          <w:rFonts w:cstheme="minorHAnsi"/>
          <w:sz w:val="24"/>
        </w:rPr>
        <w:t>L’INS a défini une nomenclature administrative pour notamment les codes géographiques et d’autres informations afin de faciliter l’appareillement des données</w:t>
      </w:r>
    </w:p>
    <w:p w14:paraId="205463B7" w14:textId="1C80DF8A" w:rsidR="00054FB4" w:rsidRPr="00C26C2C" w:rsidRDefault="00054FB4" w:rsidP="00D5699E">
      <w:pPr>
        <w:pStyle w:val="Paragraphedeliste"/>
        <w:numPr>
          <w:ilvl w:val="0"/>
          <w:numId w:val="74"/>
        </w:numPr>
        <w:jc w:val="both"/>
        <w:rPr>
          <w:bCs/>
          <w:sz w:val="28"/>
        </w:rPr>
      </w:pPr>
      <w:r>
        <w:rPr>
          <w:rFonts w:cstheme="minorHAnsi"/>
          <w:sz w:val="24"/>
        </w:rPr>
        <w:t>Depuis 2013, un décret</w:t>
      </w:r>
      <w:r>
        <w:rPr>
          <w:rStyle w:val="Appelnotedebasdep"/>
          <w:rFonts w:cstheme="minorHAnsi"/>
          <w:sz w:val="24"/>
        </w:rPr>
        <w:footnoteReference w:id="56"/>
      </w:r>
      <w:r>
        <w:rPr>
          <w:rFonts w:cstheme="minorHAnsi"/>
          <w:sz w:val="24"/>
        </w:rPr>
        <w:t xml:space="preserve"> porte création de la Commission Nationale de Toponymie est charge de l’harmonisation des noms géographiques en arabe et en latin</w:t>
      </w:r>
    </w:p>
    <w:p w14:paraId="65D1E2B8" w14:textId="5C4503ED" w:rsidR="00A50FAC" w:rsidRDefault="00A50FAC" w:rsidP="001C539E">
      <w:pPr>
        <w:pStyle w:val="Paragraphedeliste"/>
        <w:numPr>
          <w:ilvl w:val="0"/>
          <w:numId w:val="17"/>
        </w:numPr>
        <w:jc w:val="both"/>
        <w:rPr>
          <w:bCs/>
          <w:sz w:val="24"/>
        </w:rPr>
      </w:pPr>
      <w:r w:rsidRPr="007920A9">
        <w:rPr>
          <w:bCs/>
          <w:sz w:val="24"/>
        </w:rPr>
        <w:t>L</w:t>
      </w:r>
      <w:r w:rsidR="0028040E" w:rsidRPr="007920A9">
        <w:rPr>
          <w:bCs/>
          <w:sz w:val="24"/>
        </w:rPr>
        <w:t xml:space="preserve">a Loi n 88-95 du 2 aout 1988 relative aux archives </w:t>
      </w:r>
      <w:r w:rsidRPr="007920A9">
        <w:rPr>
          <w:bCs/>
          <w:sz w:val="24"/>
        </w:rPr>
        <w:t>définit les conditions d’archivage des données gouvernementales et leur accès</w:t>
      </w:r>
    </w:p>
    <w:p w14:paraId="5EB49527" w14:textId="5918B3B7" w:rsidR="00274F81" w:rsidRDefault="00274F81" w:rsidP="00D5699E">
      <w:pPr>
        <w:pStyle w:val="Paragraphedeliste"/>
        <w:numPr>
          <w:ilvl w:val="0"/>
          <w:numId w:val="75"/>
        </w:numPr>
        <w:jc w:val="both"/>
        <w:rPr>
          <w:bCs/>
          <w:sz w:val="24"/>
        </w:rPr>
      </w:pPr>
      <w:r>
        <w:rPr>
          <w:bCs/>
          <w:sz w:val="24"/>
        </w:rPr>
        <w:t>Les AN publie un plan de classification officiel pour tous les documents publics communs à tous les ministères. Certains ministères ont ensuite un plan de classification spécifique.</w:t>
      </w:r>
    </w:p>
    <w:p w14:paraId="23B36766" w14:textId="0710BD3C" w:rsidR="00274F81" w:rsidRDefault="00274F81" w:rsidP="00D5699E">
      <w:pPr>
        <w:pStyle w:val="Paragraphedeliste"/>
        <w:numPr>
          <w:ilvl w:val="0"/>
          <w:numId w:val="76"/>
        </w:numPr>
        <w:jc w:val="both"/>
        <w:rPr>
          <w:bCs/>
          <w:sz w:val="24"/>
        </w:rPr>
      </w:pPr>
      <w:r>
        <w:rPr>
          <w:bCs/>
          <w:sz w:val="24"/>
        </w:rPr>
        <w:t xml:space="preserve">Il n’y pas de législation concernant les licences attachées aux données gouvernementale, et il y a actuellement une grande hétérogénéité de licences utilisées sur les différents portails. </w:t>
      </w:r>
    </w:p>
    <w:p w14:paraId="4182CBD5" w14:textId="3A715202" w:rsidR="00274F81" w:rsidRDefault="00274F81" w:rsidP="00D5699E">
      <w:pPr>
        <w:pStyle w:val="Paragraphedeliste"/>
        <w:numPr>
          <w:ilvl w:val="0"/>
          <w:numId w:val="75"/>
        </w:numPr>
        <w:jc w:val="both"/>
        <w:rPr>
          <w:bCs/>
          <w:sz w:val="24"/>
        </w:rPr>
      </w:pPr>
      <w:r>
        <w:rPr>
          <w:bCs/>
          <w:sz w:val="24"/>
        </w:rPr>
        <w:t xml:space="preserve">Les travaux menés par la DGRPA sur une législation spécifique à la réutilisation des données </w:t>
      </w:r>
      <w:r w:rsidR="006B5D45">
        <w:rPr>
          <w:bCs/>
          <w:sz w:val="24"/>
        </w:rPr>
        <w:t>intègreront</w:t>
      </w:r>
      <w:r>
        <w:rPr>
          <w:bCs/>
          <w:sz w:val="24"/>
        </w:rPr>
        <w:t xml:space="preserve"> la définition des licences</w:t>
      </w:r>
    </w:p>
    <w:p w14:paraId="006C527D" w14:textId="756F7C9A" w:rsidR="002679A3" w:rsidRPr="007920A9" w:rsidRDefault="002679A3" w:rsidP="00D5699E">
      <w:pPr>
        <w:pStyle w:val="Paragraphedeliste"/>
        <w:numPr>
          <w:ilvl w:val="0"/>
          <w:numId w:val="77"/>
        </w:numPr>
        <w:jc w:val="both"/>
        <w:rPr>
          <w:bCs/>
          <w:sz w:val="24"/>
        </w:rPr>
      </w:pPr>
      <w:r>
        <w:rPr>
          <w:bCs/>
          <w:sz w:val="24"/>
        </w:rPr>
        <w:t>L’ANSI, en collaboration avec notamment la DGRPA travaille à une législation sur un plan de classification des données informatiques et le niveau d’habilitation requis pour leur accès. Cette législation devrait faciliter la classification et la publication des données m</w:t>
      </w:r>
      <w:r w:rsidR="00641958">
        <w:rPr>
          <w:bCs/>
          <w:sz w:val="24"/>
        </w:rPr>
        <w:t>a</w:t>
      </w:r>
      <w:r>
        <w:rPr>
          <w:bCs/>
          <w:sz w:val="24"/>
        </w:rPr>
        <w:t xml:space="preserve">is il faudra attendre de lire le contenu exact de cette législation prévue pour début 2018 </w:t>
      </w:r>
    </w:p>
    <w:p w14:paraId="5CC4A8C1" w14:textId="363DEA21" w:rsidR="0028040E" w:rsidRPr="00563E19" w:rsidRDefault="0028040E" w:rsidP="0028040E">
      <w:pPr>
        <w:pStyle w:val="Paragraphedeliste"/>
        <w:numPr>
          <w:ilvl w:val="0"/>
          <w:numId w:val="17"/>
        </w:numPr>
        <w:jc w:val="both"/>
        <w:rPr>
          <w:bCs/>
          <w:sz w:val="24"/>
        </w:rPr>
      </w:pPr>
      <w:r w:rsidRPr="007920A9">
        <w:rPr>
          <w:bCs/>
          <w:sz w:val="24"/>
        </w:rPr>
        <w:t>Il est prévu dans le cadre du plan SmartGov 2020 la mise en place d'un registre national unique et ouvert des adresses</w:t>
      </w:r>
      <w:r w:rsidR="002679A3">
        <w:rPr>
          <w:bCs/>
          <w:sz w:val="24"/>
        </w:rPr>
        <w:t xml:space="preserve"> mais il semble que cette action n’ait pas débuté</w:t>
      </w:r>
    </w:p>
    <w:p w14:paraId="7EE41DD3" w14:textId="393B5614" w:rsidR="004C2C41" w:rsidRPr="007920A9" w:rsidRDefault="004C2C41" w:rsidP="00026C12">
      <w:pPr>
        <w:autoSpaceDE w:val="0"/>
        <w:autoSpaceDN w:val="0"/>
        <w:adjustRightInd w:val="0"/>
        <w:spacing w:after="0" w:line="240" w:lineRule="auto"/>
        <w:jc w:val="both"/>
        <w:rPr>
          <w:rFonts w:cs="Times New Roman"/>
          <w:b/>
          <w:sz w:val="24"/>
        </w:rPr>
      </w:pPr>
      <w:r w:rsidRPr="007920A9">
        <w:rPr>
          <w:b/>
          <w:bCs/>
          <w:sz w:val="24"/>
        </w:rPr>
        <w:t xml:space="preserve">4.2 Le gouvernement </w:t>
      </w:r>
      <w:r w:rsidR="008B3687" w:rsidRPr="007920A9">
        <w:rPr>
          <w:b/>
          <w:bCs/>
          <w:sz w:val="24"/>
        </w:rPr>
        <w:t>a-t</w:t>
      </w:r>
      <w:r w:rsidRPr="007920A9">
        <w:rPr>
          <w:b/>
          <w:bCs/>
          <w:sz w:val="24"/>
        </w:rPr>
        <w:t>-il une vision cohérente de ses bases d’information ? (Importance: Moyenne)</w:t>
      </w:r>
      <w:r w:rsidR="00A50FAC" w:rsidRPr="007920A9">
        <w:rPr>
          <w:b/>
          <w:bCs/>
          <w:sz w:val="24"/>
        </w:rPr>
        <w:t xml:space="preserve"> </w:t>
      </w:r>
      <w:r w:rsidR="002679A3" w:rsidRPr="002679A3">
        <w:rPr>
          <w:b/>
          <w:bCs/>
          <w:sz w:val="24"/>
          <w:highlight w:val="yellow"/>
        </w:rPr>
        <w:t>JAUNE</w:t>
      </w:r>
    </w:p>
    <w:p w14:paraId="1059301A" w14:textId="1DCE73D1" w:rsidR="004C2C41" w:rsidRDefault="008B3687" w:rsidP="001C539E">
      <w:pPr>
        <w:pStyle w:val="Paragraphedeliste"/>
        <w:numPr>
          <w:ilvl w:val="0"/>
          <w:numId w:val="18"/>
        </w:numPr>
        <w:jc w:val="both"/>
        <w:rPr>
          <w:bCs/>
          <w:sz w:val="24"/>
        </w:rPr>
      </w:pPr>
      <w:r w:rsidRPr="007920A9">
        <w:rPr>
          <w:bCs/>
          <w:sz w:val="24"/>
        </w:rPr>
        <w:t xml:space="preserve">Il n’y pas de </w:t>
      </w:r>
      <w:r w:rsidR="006B5D45" w:rsidRPr="007920A9">
        <w:rPr>
          <w:bCs/>
          <w:sz w:val="24"/>
        </w:rPr>
        <w:t>catalogue central</w:t>
      </w:r>
      <w:r w:rsidRPr="007920A9">
        <w:rPr>
          <w:bCs/>
          <w:sz w:val="24"/>
        </w:rPr>
        <w:t xml:space="preserve"> des données. </w:t>
      </w:r>
      <w:r w:rsidRPr="007920A9">
        <w:rPr>
          <w:sz w:val="24"/>
        </w:rPr>
        <w:t xml:space="preserve">Il n'existe pas de recensement des données au niveau gouvernemental.  </w:t>
      </w:r>
      <w:r w:rsidRPr="007920A9">
        <w:rPr>
          <w:bCs/>
          <w:sz w:val="24"/>
        </w:rPr>
        <w:t>Chaque agence est en charge de maintenir son propre catalogue</w:t>
      </w:r>
    </w:p>
    <w:p w14:paraId="1604C0AC" w14:textId="2141E3D1" w:rsidR="002679A3" w:rsidRPr="007920A9" w:rsidRDefault="002679A3" w:rsidP="001C539E">
      <w:pPr>
        <w:pStyle w:val="Paragraphedeliste"/>
        <w:numPr>
          <w:ilvl w:val="0"/>
          <w:numId w:val="18"/>
        </w:numPr>
        <w:jc w:val="both"/>
        <w:rPr>
          <w:bCs/>
          <w:sz w:val="24"/>
        </w:rPr>
      </w:pPr>
      <w:r>
        <w:rPr>
          <w:bCs/>
          <w:sz w:val="24"/>
        </w:rPr>
        <w:t xml:space="preserve">Aucun </w:t>
      </w:r>
      <w:r w:rsidR="006B5D45">
        <w:rPr>
          <w:bCs/>
          <w:sz w:val="24"/>
        </w:rPr>
        <w:t>des ministères rencontrés</w:t>
      </w:r>
      <w:r>
        <w:rPr>
          <w:bCs/>
          <w:sz w:val="24"/>
        </w:rPr>
        <w:t xml:space="preserve"> n’a une vision claire de ses bases d’information</w:t>
      </w:r>
    </w:p>
    <w:p w14:paraId="2FBB6128" w14:textId="76F40F52" w:rsidR="005761D2" w:rsidRDefault="005761D2" w:rsidP="001C539E">
      <w:pPr>
        <w:pStyle w:val="Paragraphedeliste"/>
        <w:numPr>
          <w:ilvl w:val="0"/>
          <w:numId w:val="19"/>
        </w:numPr>
        <w:jc w:val="both"/>
        <w:rPr>
          <w:bCs/>
          <w:sz w:val="24"/>
        </w:rPr>
      </w:pPr>
      <w:r>
        <w:rPr>
          <w:bCs/>
          <w:sz w:val="24"/>
        </w:rPr>
        <w:t>L’engagement 3 du plan d’action PGO prévoit la mise en œuvre d’un inventaire de données</w:t>
      </w:r>
    </w:p>
    <w:p w14:paraId="63EAE6AA" w14:textId="17AFDFE0" w:rsidR="00A50FAC" w:rsidRDefault="0028040E" w:rsidP="001C539E">
      <w:pPr>
        <w:pStyle w:val="Paragraphedeliste"/>
        <w:numPr>
          <w:ilvl w:val="0"/>
          <w:numId w:val="19"/>
        </w:numPr>
        <w:jc w:val="both"/>
        <w:rPr>
          <w:bCs/>
          <w:sz w:val="24"/>
        </w:rPr>
      </w:pPr>
      <w:r w:rsidRPr="007920A9">
        <w:rPr>
          <w:bCs/>
          <w:sz w:val="24"/>
        </w:rPr>
        <w:t>Certaines agences comme l’I</w:t>
      </w:r>
      <w:r w:rsidR="00A50FAC" w:rsidRPr="007920A9">
        <w:rPr>
          <w:bCs/>
          <w:sz w:val="24"/>
        </w:rPr>
        <w:t>NS</w:t>
      </w:r>
      <w:r w:rsidR="002679A3">
        <w:rPr>
          <w:bCs/>
          <w:sz w:val="24"/>
        </w:rPr>
        <w:t xml:space="preserve">, le MEMER, </w:t>
      </w:r>
      <w:r w:rsidRPr="007920A9">
        <w:rPr>
          <w:bCs/>
          <w:sz w:val="24"/>
        </w:rPr>
        <w:t>le M</w:t>
      </w:r>
      <w:r w:rsidR="002679A3">
        <w:rPr>
          <w:bCs/>
          <w:sz w:val="24"/>
        </w:rPr>
        <w:t>INT, le MIC, le MIF</w:t>
      </w:r>
      <w:r w:rsidRPr="007920A9">
        <w:rPr>
          <w:bCs/>
          <w:sz w:val="24"/>
        </w:rPr>
        <w:t xml:space="preserve"> </w:t>
      </w:r>
      <w:r w:rsidR="00A50FAC" w:rsidRPr="007920A9">
        <w:rPr>
          <w:bCs/>
          <w:sz w:val="24"/>
        </w:rPr>
        <w:t>publie</w:t>
      </w:r>
      <w:r w:rsidRPr="007920A9">
        <w:rPr>
          <w:bCs/>
          <w:sz w:val="24"/>
        </w:rPr>
        <w:t>nt</w:t>
      </w:r>
      <w:r w:rsidR="00A50FAC" w:rsidRPr="007920A9">
        <w:rPr>
          <w:bCs/>
          <w:sz w:val="24"/>
        </w:rPr>
        <w:t xml:space="preserve"> </w:t>
      </w:r>
      <w:r w:rsidRPr="007920A9">
        <w:rPr>
          <w:bCs/>
          <w:sz w:val="24"/>
        </w:rPr>
        <w:t>leurs données sur un portail de données ouvertes</w:t>
      </w:r>
    </w:p>
    <w:p w14:paraId="316C91C5" w14:textId="0A1FB569" w:rsidR="0025552F" w:rsidRDefault="0025552F" w:rsidP="001C539E">
      <w:pPr>
        <w:pStyle w:val="Paragraphedeliste"/>
        <w:numPr>
          <w:ilvl w:val="0"/>
          <w:numId w:val="19"/>
        </w:numPr>
        <w:jc w:val="both"/>
        <w:rPr>
          <w:bCs/>
          <w:sz w:val="24"/>
        </w:rPr>
      </w:pPr>
      <w:r>
        <w:rPr>
          <w:bCs/>
          <w:sz w:val="24"/>
        </w:rPr>
        <w:t>Certains des portails des structures et ministères sont fédérés sur le portail national</w:t>
      </w:r>
    </w:p>
    <w:p w14:paraId="08E1FCA0" w14:textId="510C26BE" w:rsidR="002679A3" w:rsidRPr="007920A9" w:rsidRDefault="002679A3" w:rsidP="001C539E">
      <w:pPr>
        <w:pStyle w:val="Paragraphedeliste"/>
        <w:numPr>
          <w:ilvl w:val="0"/>
          <w:numId w:val="19"/>
        </w:numPr>
        <w:jc w:val="both"/>
        <w:rPr>
          <w:bCs/>
          <w:sz w:val="24"/>
        </w:rPr>
      </w:pPr>
      <w:r>
        <w:rPr>
          <w:bCs/>
          <w:sz w:val="24"/>
        </w:rPr>
        <w:t>Le MALE a réalisé un inventaire des données géospatiales pour le développement d’un SIG national. 122 jeux de données ont été identifié</w:t>
      </w:r>
      <w:r w:rsidR="00641958">
        <w:rPr>
          <w:bCs/>
          <w:sz w:val="24"/>
        </w:rPr>
        <w:t>s</w:t>
      </w:r>
      <w:r>
        <w:rPr>
          <w:bCs/>
          <w:sz w:val="24"/>
        </w:rPr>
        <w:t xml:space="preserve"> au travers du gouvernement.</w:t>
      </w:r>
    </w:p>
    <w:p w14:paraId="31E6B1F1" w14:textId="5FF4ABEA" w:rsidR="006771EE" w:rsidRDefault="00A50FAC" w:rsidP="001C539E">
      <w:pPr>
        <w:pStyle w:val="Paragraphedeliste"/>
        <w:numPr>
          <w:ilvl w:val="0"/>
          <w:numId w:val="20"/>
        </w:numPr>
        <w:jc w:val="both"/>
        <w:rPr>
          <w:bCs/>
          <w:sz w:val="24"/>
        </w:rPr>
      </w:pPr>
      <w:r w:rsidRPr="007920A9">
        <w:rPr>
          <w:bCs/>
          <w:sz w:val="24"/>
        </w:rPr>
        <w:t>Il n’y a pas de standardisation des métadonnées pour la description des jeux de données</w:t>
      </w:r>
    </w:p>
    <w:p w14:paraId="48742007" w14:textId="470B4953" w:rsidR="005B36A4" w:rsidRDefault="005B36A4" w:rsidP="00D5699E">
      <w:pPr>
        <w:pStyle w:val="Paragraphedeliste"/>
        <w:numPr>
          <w:ilvl w:val="0"/>
          <w:numId w:val="80"/>
        </w:numPr>
        <w:jc w:val="both"/>
        <w:rPr>
          <w:bCs/>
          <w:sz w:val="24"/>
        </w:rPr>
      </w:pPr>
      <w:r>
        <w:rPr>
          <w:bCs/>
          <w:sz w:val="24"/>
        </w:rPr>
        <w:t>De nombreux ministères intègrent sous leur tutelle un ou plusieurs observatoires qui rassemblent un grand nombre de sources de données pour générer leurs indicateurs. Ces structures ont donc une information détaillée sur les jeux de données qu’ils exploitent</w:t>
      </w:r>
    </w:p>
    <w:p w14:paraId="1708DB0F" w14:textId="43126EC1" w:rsidR="009E3EC3" w:rsidRPr="007920A9" w:rsidRDefault="009E3EC3" w:rsidP="00D5699E">
      <w:pPr>
        <w:pStyle w:val="Paragraphedeliste"/>
        <w:numPr>
          <w:ilvl w:val="0"/>
          <w:numId w:val="80"/>
        </w:numPr>
        <w:jc w:val="both"/>
        <w:rPr>
          <w:bCs/>
          <w:sz w:val="24"/>
        </w:rPr>
      </w:pPr>
      <w:r>
        <w:rPr>
          <w:bCs/>
          <w:sz w:val="24"/>
        </w:rPr>
        <w:t>Une grande quantité d’information est publiée sur les sites web</w:t>
      </w:r>
    </w:p>
    <w:p w14:paraId="70DE1510" w14:textId="1B1F4A8F" w:rsidR="004C2C41" w:rsidRDefault="004C2C41" w:rsidP="00026C12">
      <w:pPr>
        <w:autoSpaceDE w:val="0"/>
        <w:autoSpaceDN w:val="0"/>
        <w:adjustRightInd w:val="0"/>
        <w:spacing w:after="0" w:line="240" w:lineRule="auto"/>
        <w:jc w:val="both"/>
        <w:rPr>
          <w:b/>
          <w:bCs/>
          <w:sz w:val="24"/>
        </w:rPr>
      </w:pPr>
      <w:r w:rsidRPr="007920A9">
        <w:rPr>
          <w:b/>
          <w:bCs/>
          <w:sz w:val="24"/>
        </w:rPr>
        <w:t>4.3 Comment et où se conservent les données gouvernementales ? (Importance: Élevée)</w:t>
      </w:r>
      <w:r w:rsidR="00A50FAC" w:rsidRPr="007920A9">
        <w:rPr>
          <w:b/>
          <w:bCs/>
          <w:sz w:val="24"/>
        </w:rPr>
        <w:t xml:space="preserve"> </w:t>
      </w:r>
      <w:r w:rsidR="002679A3" w:rsidRPr="002679A3">
        <w:rPr>
          <w:b/>
          <w:bCs/>
          <w:sz w:val="24"/>
          <w:highlight w:val="yellow"/>
        </w:rPr>
        <w:t>JAUNE</w:t>
      </w:r>
      <w:r w:rsidR="002679A3">
        <w:rPr>
          <w:b/>
          <w:bCs/>
          <w:sz w:val="24"/>
        </w:rPr>
        <w:t>/</w:t>
      </w:r>
      <w:r w:rsidR="002679A3" w:rsidRPr="002679A3">
        <w:rPr>
          <w:b/>
          <w:bCs/>
          <w:sz w:val="24"/>
          <w:highlight w:val="red"/>
        </w:rPr>
        <w:t>ROUGE</w:t>
      </w:r>
    </w:p>
    <w:p w14:paraId="77F6C413" w14:textId="77777777" w:rsidR="002679A3" w:rsidRPr="007920A9" w:rsidRDefault="002679A3" w:rsidP="00026C12">
      <w:pPr>
        <w:autoSpaceDE w:val="0"/>
        <w:autoSpaceDN w:val="0"/>
        <w:adjustRightInd w:val="0"/>
        <w:spacing w:after="0" w:line="240" w:lineRule="auto"/>
        <w:jc w:val="both"/>
        <w:rPr>
          <w:rFonts w:cs="Times New Roman"/>
          <w:b/>
          <w:sz w:val="24"/>
        </w:rPr>
      </w:pPr>
    </w:p>
    <w:p w14:paraId="77C894D9" w14:textId="357C0090" w:rsidR="00A50FAC" w:rsidRPr="007920A9" w:rsidRDefault="00A50FAC" w:rsidP="001C539E">
      <w:pPr>
        <w:pStyle w:val="Paragraphedeliste"/>
        <w:numPr>
          <w:ilvl w:val="0"/>
          <w:numId w:val="21"/>
        </w:numPr>
        <w:jc w:val="both"/>
        <w:rPr>
          <w:bCs/>
          <w:sz w:val="24"/>
        </w:rPr>
      </w:pPr>
      <w:r w:rsidRPr="007920A9">
        <w:rPr>
          <w:bCs/>
          <w:sz w:val="24"/>
        </w:rPr>
        <w:t>Il n’y a pas de politique d’archivage en place au niveau technique et au niveau réglementaire</w:t>
      </w:r>
      <w:r w:rsidR="006771EE" w:rsidRPr="007920A9">
        <w:rPr>
          <w:bCs/>
          <w:sz w:val="24"/>
        </w:rPr>
        <w:t xml:space="preserve"> concernant la conservation des données digitales </w:t>
      </w:r>
    </w:p>
    <w:p w14:paraId="01812ECF" w14:textId="7BACE69E" w:rsidR="006771EE" w:rsidRPr="007920A9" w:rsidRDefault="006771EE" w:rsidP="001C539E">
      <w:pPr>
        <w:pStyle w:val="Paragraphedeliste"/>
        <w:numPr>
          <w:ilvl w:val="0"/>
          <w:numId w:val="21"/>
        </w:numPr>
        <w:jc w:val="both"/>
        <w:rPr>
          <w:bCs/>
          <w:sz w:val="28"/>
        </w:rPr>
      </w:pPr>
      <w:r w:rsidRPr="007920A9">
        <w:rPr>
          <w:rFonts w:cstheme="minorHAnsi"/>
          <w:sz w:val="24"/>
        </w:rPr>
        <w:t xml:space="preserve">Chaque agence est en charge de la protection de ses données </w:t>
      </w:r>
      <w:r w:rsidR="002679A3">
        <w:rPr>
          <w:rFonts w:cstheme="minorHAnsi"/>
          <w:sz w:val="24"/>
        </w:rPr>
        <w:t xml:space="preserve">digitales </w:t>
      </w:r>
    </w:p>
    <w:p w14:paraId="36FF462C" w14:textId="31399BAD" w:rsidR="00A50FAC" w:rsidRDefault="00A50FAC" w:rsidP="001C539E">
      <w:pPr>
        <w:pStyle w:val="Paragraphedeliste"/>
        <w:numPr>
          <w:ilvl w:val="0"/>
          <w:numId w:val="22"/>
        </w:numPr>
        <w:jc w:val="both"/>
        <w:rPr>
          <w:bCs/>
          <w:sz w:val="24"/>
        </w:rPr>
      </w:pPr>
      <w:r w:rsidRPr="007920A9">
        <w:rPr>
          <w:bCs/>
          <w:sz w:val="24"/>
        </w:rPr>
        <w:t>Il n’y a pas de format standard de données. Chaque agence fait ses propres choix en termes de système d’information</w:t>
      </w:r>
    </w:p>
    <w:p w14:paraId="0A16008F" w14:textId="65EE5B94" w:rsidR="002679A3" w:rsidRDefault="002679A3" w:rsidP="00D5699E">
      <w:pPr>
        <w:pStyle w:val="Paragraphedeliste"/>
        <w:numPr>
          <w:ilvl w:val="0"/>
          <w:numId w:val="78"/>
        </w:numPr>
        <w:jc w:val="both"/>
        <w:rPr>
          <w:bCs/>
          <w:sz w:val="24"/>
        </w:rPr>
      </w:pPr>
      <w:r>
        <w:rPr>
          <w:bCs/>
          <w:sz w:val="24"/>
        </w:rPr>
        <w:t>Il existe plusieurs data center soit au sein des différents ministères soit au niveau national (CNI, ATI)</w:t>
      </w:r>
    </w:p>
    <w:p w14:paraId="747A1244" w14:textId="365F40CB" w:rsidR="006771EE" w:rsidRPr="00563E19" w:rsidRDefault="005B36A4" w:rsidP="00D5699E">
      <w:pPr>
        <w:pStyle w:val="Paragraphedeliste"/>
        <w:numPr>
          <w:ilvl w:val="0"/>
          <w:numId w:val="79"/>
        </w:numPr>
        <w:jc w:val="both"/>
        <w:rPr>
          <w:bCs/>
          <w:sz w:val="24"/>
        </w:rPr>
      </w:pPr>
      <w:r>
        <w:rPr>
          <w:bCs/>
          <w:sz w:val="24"/>
        </w:rPr>
        <w:t xml:space="preserve">Les AN travaillent actuellement sur la conservation digitale et devrait dans </w:t>
      </w:r>
      <w:r w:rsidR="006B5D45">
        <w:rPr>
          <w:bCs/>
          <w:sz w:val="24"/>
        </w:rPr>
        <w:t>un avenir proche</w:t>
      </w:r>
      <w:r>
        <w:rPr>
          <w:bCs/>
          <w:sz w:val="24"/>
        </w:rPr>
        <w:t xml:space="preserve"> émettre une réglementation sur le sujet (action relative à l’engagement 14 du plan OGP)</w:t>
      </w:r>
    </w:p>
    <w:p w14:paraId="37034D60" w14:textId="09E3A759" w:rsidR="004C2C41" w:rsidRDefault="004C2C41" w:rsidP="00026C12">
      <w:pPr>
        <w:autoSpaceDE w:val="0"/>
        <w:autoSpaceDN w:val="0"/>
        <w:adjustRightInd w:val="0"/>
        <w:spacing w:after="0" w:line="240" w:lineRule="auto"/>
        <w:jc w:val="both"/>
        <w:rPr>
          <w:b/>
          <w:bCs/>
          <w:sz w:val="24"/>
        </w:rPr>
      </w:pPr>
      <w:r w:rsidRPr="007920A9">
        <w:rPr>
          <w:b/>
          <w:bCs/>
          <w:sz w:val="24"/>
        </w:rPr>
        <w:t>4.4 Y-a-t-il une demande latente d’échange de données intra ou inter-gouvernementale ? (Importance: Élevée)</w:t>
      </w:r>
      <w:r w:rsidR="00A50FAC" w:rsidRPr="007920A9">
        <w:rPr>
          <w:b/>
          <w:bCs/>
          <w:sz w:val="24"/>
        </w:rPr>
        <w:t xml:space="preserve"> </w:t>
      </w:r>
      <w:r w:rsidR="005B36A4" w:rsidRPr="005B36A4">
        <w:rPr>
          <w:b/>
          <w:bCs/>
          <w:sz w:val="24"/>
          <w:highlight w:val="yellow"/>
        </w:rPr>
        <w:t>JAUNE</w:t>
      </w:r>
    </w:p>
    <w:p w14:paraId="39083E10" w14:textId="2174B5D1" w:rsidR="005B36A4" w:rsidRPr="005B36A4" w:rsidRDefault="005B36A4" w:rsidP="00D5699E">
      <w:pPr>
        <w:pStyle w:val="Paragraphedeliste"/>
        <w:numPr>
          <w:ilvl w:val="0"/>
          <w:numId w:val="79"/>
        </w:numPr>
        <w:autoSpaceDE w:val="0"/>
        <w:autoSpaceDN w:val="0"/>
        <w:adjustRightInd w:val="0"/>
        <w:spacing w:after="0" w:line="240" w:lineRule="auto"/>
        <w:jc w:val="both"/>
        <w:rPr>
          <w:bCs/>
          <w:sz w:val="24"/>
        </w:rPr>
      </w:pPr>
      <w:r w:rsidRPr="005B36A4">
        <w:rPr>
          <w:bCs/>
          <w:sz w:val="24"/>
        </w:rPr>
        <w:t xml:space="preserve">L’INS a </w:t>
      </w:r>
      <w:r>
        <w:rPr>
          <w:bCs/>
          <w:sz w:val="24"/>
        </w:rPr>
        <w:t>besoin</w:t>
      </w:r>
      <w:r w:rsidRPr="005B36A4">
        <w:rPr>
          <w:bCs/>
          <w:sz w:val="24"/>
        </w:rPr>
        <w:t xml:space="preserve"> de collecte</w:t>
      </w:r>
      <w:r>
        <w:rPr>
          <w:bCs/>
          <w:sz w:val="24"/>
        </w:rPr>
        <w:t>r</w:t>
      </w:r>
      <w:r w:rsidRPr="005B36A4">
        <w:rPr>
          <w:bCs/>
          <w:sz w:val="24"/>
        </w:rPr>
        <w:t xml:space="preserve"> de</w:t>
      </w:r>
      <w:r>
        <w:rPr>
          <w:bCs/>
          <w:sz w:val="24"/>
        </w:rPr>
        <w:t>s</w:t>
      </w:r>
      <w:r w:rsidRPr="005B36A4">
        <w:rPr>
          <w:bCs/>
          <w:sz w:val="24"/>
        </w:rPr>
        <w:t xml:space="preserve"> données auprès des différentes structures</w:t>
      </w:r>
      <w:r>
        <w:rPr>
          <w:bCs/>
          <w:sz w:val="24"/>
        </w:rPr>
        <w:t xml:space="preserve"> mais certaines fournissent</w:t>
      </w:r>
      <w:r w:rsidRPr="005B36A4">
        <w:rPr>
          <w:bCs/>
          <w:sz w:val="24"/>
        </w:rPr>
        <w:t xml:space="preserve"> </w:t>
      </w:r>
      <w:r>
        <w:rPr>
          <w:bCs/>
          <w:sz w:val="24"/>
        </w:rPr>
        <w:t xml:space="preserve">actuellement </w:t>
      </w:r>
      <w:r w:rsidRPr="005B36A4">
        <w:rPr>
          <w:bCs/>
          <w:sz w:val="24"/>
        </w:rPr>
        <w:t xml:space="preserve">leurs données sous format papier. </w:t>
      </w:r>
    </w:p>
    <w:p w14:paraId="26A1A51C" w14:textId="512C5809" w:rsidR="005B36A4" w:rsidRPr="005B36A4" w:rsidRDefault="005B36A4" w:rsidP="00D5699E">
      <w:pPr>
        <w:pStyle w:val="Paragraphedeliste"/>
        <w:numPr>
          <w:ilvl w:val="0"/>
          <w:numId w:val="79"/>
        </w:numPr>
        <w:autoSpaceDE w:val="0"/>
        <w:autoSpaceDN w:val="0"/>
        <w:adjustRightInd w:val="0"/>
        <w:spacing w:after="0" w:line="240" w:lineRule="auto"/>
        <w:jc w:val="both"/>
        <w:rPr>
          <w:bCs/>
          <w:sz w:val="24"/>
        </w:rPr>
      </w:pPr>
      <w:r w:rsidRPr="005B36A4">
        <w:rPr>
          <w:bCs/>
          <w:sz w:val="24"/>
        </w:rPr>
        <w:t>Certaines agence</w:t>
      </w:r>
      <w:r w:rsidR="002417C2">
        <w:rPr>
          <w:bCs/>
          <w:sz w:val="24"/>
        </w:rPr>
        <w:t>s</w:t>
      </w:r>
      <w:r w:rsidRPr="005B36A4">
        <w:rPr>
          <w:bCs/>
          <w:sz w:val="24"/>
        </w:rPr>
        <w:t xml:space="preserve"> comme l’INS utilisent des données des systèmes d’information nationaux gérés par le CNI</w:t>
      </w:r>
    </w:p>
    <w:p w14:paraId="60E1F5D4" w14:textId="5582BF22" w:rsidR="005B36A4" w:rsidRDefault="00054FB4" w:rsidP="00D5699E">
      <w:pPr>
        <w:pStyle w:val="Paragraphedeliste"/>
        <w:numPr>
          <w:ilvl w:val="0"/>
          <w:numId w:val="81"/>
        </w:numPr>
        <w:autoSpaceDE w:val="0"/>
        <w:autoSpaceDN w:val="0"/>
        <w:adjustRightInd w:val="0"/>
        <w:spacing w:after="0" w:line="240" w:lineRule="auto"/>
        <w:jc w:val="both"/>
        <w:rPr>
          <w:bCs/>
          <w:sz w:val="24"/>
        </w:rPr>
      </w:pPr>
      <w:r w:rsidRPr="00054FB4">
        <w:rPr>
          <w:bCs/>
          <w:sz w:val="24"/>
        </w:rPr>
        <w:t xml:space="preserve">Dans certains cas, le CNI facture ses services </w:t>
      </w:r>
      <w:r w:rsidR="00563E19">
        <w:rPr>
          <w:bCs/>
          <w:sz w:val="24"/>
        </w:rPr>
        <w:t>pour la</w:t>
      </w:r>
      <w:r w:rsidRPr="00054FB4">
        <w:rPr>
          <w:bCs/>
          <w:sz w:val="24"/>
        </w:rPr>
        <w:t xml:space="preserve"> manipulation et </w:t>
      </w:r>
      <w:r w:rsidR="00563E19">
        <w:rPr>
          <w:bCs/>
          <w:sz w:val="24"/>
        </w:rPr>
        <w:t>l’</w:t>
      </w:r>
      <w:r w:rsidRPr="00054FB4">
        <w:rPr>
          <w:bCs/>
          <w:sz w:val="24"/>
        </w:rPr>
        <w:t xml:space="preserve">extraction des données depuis les systèmes gouvernementaux qu’il gère.   </w:t>
      </w:r>
    </w:p>
    <w:p w14:paraId="1B67F813" w14:textId="5D166FC1" w:rsidR="00054FB4" w:rsidRDefault="005B36A4" w:rsidP="00D5699E">
      <w:pPr>
        <w:pStyle w:val="Paragraphedeliste"/>
        <w:numPr>
          <w:ilvl w:val="0"/>
          <w:numId w:val="81"/>
        </w:numPr>
        <w:autoSpaceDE w:val="0"/>
        <w:autoSpaceDN w:val="0"/>
        <w:adjustRightInd w:val="0"/>
        <w:spacing w:after="0" w:line="240" w:lineRule="auto"/>
        <w:jc w:val="both"/>
        <w:rPr>
          <w:bCs/>
          <w:sz w:val="24"/>
        </w:rPr>
      </w:pPr>
      <w:r>
        <w:rPr>
          <w:bCs/>
          <w:sz w:val="24"/>
        </w:rPr>
        <w:t>Il n’a pas été identifié d’activité lié</w:t>
      </w:r>
      <w:r w:rsidR="00641958">
        <w:rPr>
          <w:bCs/>
          <w:sz w:val="24"/>
        </w:rPr>
        <w:t>e</w:t>
      </w:r>
      <w:r>
        <w:rPr>
          <w:bCs/>
          <w:sz w:val="24"/>
        </w:rPr>
        <w:t xml:space="preserve"> à l’évaluation de la performance des services publics qui nécessiterait une collecte d’information globale par une entité spécifique</w:t>
      </w:r>
    </w:p>
    <w:p w14:paraId="2C2A51C9" w14:textId="77777777" w:rsidR="00563E19" w:rsidRDefault="004D656D" w:rsidP="00D5699E">
      <w:pPr>
        <w:pStyle w:val="Paragraphedeliste"/>
        <w:numPr>
          <w:ilvl w:val="0"/>
          <w:numId w:val="124"/>
        </w:numPr>
        <w:autoSpaceDE w:val="0"/>
        <w:autoSpaceDN w:val="0"/>
        <w:adjustRightInd w:val="0"/>
        <w:spacing w:after="0" w:line="240" w:lineRule="auto"/>
        <w:jc w:val="both"/>
        <w:rPr>
          <w:bCs/>
          <w:sz w:val="24"/>
        </w:rPr>
      </w:pPr>
      <w:r w:rsidRPr="001B6DD5">
        <w:rPr>
          <w:bCs/>
          <w:sz w:val="24"/>
        </w:rPr>
        <w:t>La mise en place de la GBO devrait développer la demande de partage de données en interne</w:t>
      </w:r>
    </w:p>
    <w:p w14:paraId="28E10FC2" w14:textId="215DF26F" w:rsidR="005B36A4" w:rsidRDefault="005B36A4" w:rsidP="00D5699E">
      <w:pPr>
        <w:pStyle w:val="Paragraphedeliste"/>
        <w:numPr>
          <w:ilvl w:val="0"/>
          <w:numId w:val="81"/>
        </w:numPr>
        <w:autoSpaceDE w:val="0"/>
        <w:autoSpaceDN w:val="0"/>
        <w:adjustRightInd w:val="0"/>
        <w:spacing w:after="0" w:line="240" w:lineRule="auto"/>
        <w:jc w:val="both"/>
        <w:rPr>
          <w:bCs/>
          <w:sz w:val="24"/>
        </w:rPr>
      </w:pPr>
      <w:r>
        <w:rPr>
          <w:bCs/>
          <w:sz w:val="24"/>
        </w:rPr>
        <w:t>Le Ministère du Développement et de la coopération internationale (MDCI) est en charge des ODD mais ne semble pas être engagé dans la mise en œuvre de la collecte d’information y afférant</w:t>
      </w:r>
      <w:r w:rsidR="009E3EC3">
        <w:rPr>
          <w:bCs/>
          <w:sz w:val="24"/>
        </w:rPr>
        <w:t xml:space="preserve"> auprès des différents ministères et structures</w:t>
      </w:r>
    </w:p>
    <w:p w14:paraId="7F859736" w14:textId="5A37182B" w:rsidR="009E3EC3" w:rsidRDefault="009E3EC3" w:rsidP="00D5699E">
      <w:pPr>
        <w:pStyle w:val="Paragraphedeliste"/>
        <w:numPr>
          <w:ilvl w:val="0"/>
          <w:numId w:val="86"/>
        </w:numPr>
        <w:autoSpaceDE w:val="0"/>
        <w:autoSpaceDN w:val="0"/>
        <w:adjustRightInd w:val="0"/>
        <w:spacing w:after="0" w:line="240" w:lineRule="auto"/>
        <w:jc w:val="both"/>
        <w:rPr>
          <w:bCs/>
          <w:sz w:val="24"/>
        </w:rPr>
      </w:pPr>
      <w:r>
        <w:rPr>
          <w:bCs/>
          <w:sz w:val="24"/>
        </w:rPr>
        <w:t>Les nombreux observatoires existants au sein des différents ministères ont des besoins de collecte de données auprès de différents services de différentes structures. Cette collection semble encore largement manuelle à ce stage, mais si des projets d’automatisation ou travers notamment de Web Services apparaissent (cas par exemple de l’Observatoire National des Marchés Publics – ONMP)</w:t>
      </w:r>
    </w:p>
    <w:p w14:paraId="6AEE341A" w14:textId="62DAE06C" w:rsidR="002B4B2A" w:rsidRDefault="002B4B2A" w:rsidP="00D5699E">
      <w:pPr>
        <w:pStyle w:val="Paragraphedeliste"/>
        <w:numPr>
          <w:ilvl w:val="0"/>
          <w:numId w:val="86"/>
        </w:numPr>
        <w:autoSpaceDE w:val="0"/>
        <w:autoSpaceDN w:val="0"/>
        <w:adjustRightInd w:val="0"/>
        <w:spacing w:after="0" w:line="240" w:lineRule="auto"/>
        <w:jc w:val="both"/>
        <w:rPr>
          <w:bCs/>
          <w:sz w:val="24"/>
        </w:rPr>
      </w:pPr>
      <w:r>
        <w:rPr>
          <w:bCs/>
          <w:sz w:val="24"/>
        </w:rPr>
        <w:t>L’ONMP mentionne l’échange de données sur la qualité des fournisseurs fournie sur demande aux structures organisant des appels offres et voulant conna</w:t>
      </w:r>
      <w:r w:rsidR="000607BA">
        <w:rPr>
          <w:bCs/>
          <w:sz w:val="24"/>
        </w:rPr>
        <w:t>î</w:t>
      </w:r>
      <w:r>
        <w:rPr>
          <w:bCs/>
          <w:sz w:val="24"/>
        </w:rPr>
        <w:t>tre la qualité d’un fournisseur. L’ONMP synthétise une fiche descriptive en fonction de la performance du fournisseur sur les marchés gagnés et fournit cette information. Cet exemple anecdotique démontre l’existence d’échanges qui sont peut-être très spécifiques entre une structure et une autre et qui n’émergeraient pas nécessairement dans cette étude.</w:t>
      </w:r>
    </w:p>
    <w:p w14:paraId="7CC527E0" w14:textId="23A9B96D" w:rsidR="009E3EC3" w:rsidRDefault="009E3EC3" w:rsidP="00D5699E">
      <w:pPr>
        <w:pStyle w:val="Paragraphedeliste"/>
        <w:numPr>
          <w:ilvl w:val="0"/>
          <w:numId w:val="86"/>
        </w:numPr>
        <w:autoSpaceDE w:val="0"/>
        <w:autoSpaceDN w:val="0"/>
        <w:adjustRightInd w:val="0"/>
        <w:spacing w:after="0" w:line="240" w:lineRule="auto"/>
        <w:jc w:val="both"/>
        <w:rPr>
          <w:bCs/>
          <w:sz w:val="24"/>
        </w:rPr>
      </w:pPr>
      <w:r>
        <w:rPr>
          <w:bCs/>
          <w:sz w:val="24"/>
        </w:rPr>
        <w:t xml:space="preserve">La mise en place d’un SIG national dirigé par le MALE </w:t>
      </w:r>
      <w:r w:rsidR="00BB2F78">
        <w:rPr>
          <w:bCs/>
          <w:sz w:val="24"/>
        </w:rPr>
        <w:t>nécessitera</w:t>
      </w:r>
      <w:r>
        <w:rPr>
          <w:bCs/>
          <w:sz w:val="24"/>
        </w:rPr>
        <w:t xml:space="preserve"> </w:t>
      </w:r>
      <w:r w:rsidR="00BB2F78">
        <w:rPr>
          <w:bCs/>
          <w:sz w:val="24"/>
        </w:rPr>
        <w:t>obligatoirement</w:t>
      </w:r>
      <w:r>
        <w:rPr>
          <w:bCs/>
          <w:sz w:val="24"/>
        </w:rPr>
        <w:t xml:space="preserve"> l’échange de données entre le MALE et les entités en charge des différentes informations</w:t>
      </w:r>
      <w:r w:rsidR="00BB2F78">
        <w:rPr>
          <w:bCs/>
          <w:sz w:val="24"/>
        </w:rPr>
        <w:t xml:space="preserve"> géospatiales. A ce stade seul l’inventaire a été effectué.</w:t>
      </w:r>
    </w:p>
    <w:p w14:paraId="106CDB36" w14:textId="7D3ECFC8" w:rsidR="004266A5" w:rsidRPr="00563E19" w:rsidRDefault="00BB2F78" w:rsidP="00D5699E">
      <w:pPr>
        <w:pStyle w:val="Paragraphedeliste"/>
        <w:numPr>
          <w:ilvl w:val="0"/>
          <w:numId w:val="86"/>
        </w:numPr>
        <w:autoSpaceDE w:val="0"/>
        <w:autoSpaceDN w:val="0"/>
        <w:adjustRightInd w:val="0"/>
        <w:spacing w:after="0" w:line="240" w:lineRule="auto"/>
        <w:jc w:val="both"/>
        <w:rPr>
          <w:bCs/>
          <w:sz w:val="24"/>
        </w:rPr>
      </w:pPr>
      <w:r>
        <w:rPr>
          <w:bCs/>
          <w:sz w:val="24"/>
        </w:rPr>
        <w:t>Les CAI ont un besoin critique d’accès aux informations dans les différents services et dans les différentes structures sous tutelle pour mener à bien leur mission</w:t>
      </w:r>
    </w:p>
    <w:p w14:paraId="39663535" w14:textId="77777777" w:rsidR="006E4BBF" w:rsidRPr="007920A9" w:rsidRDefault="006E4BBF" w:rsidP="006E4BBF">
      <w:pPr>
        <w:pStyle w:val="Paragraphedeliste"/>
        <w:autoSpaceDE w:val="0"/>
        <w:autoSpaceDN w:val="0"/>
        <w:adjustRightInd w:val="0"/>
        <w:spacing w:after="0" w:line="240" w:lineRule="auto"/>
        <w:jc w:val="both"/>
        <w:rPr>
          <w:bCs/>
          <w:sz w:val="24"/>
        </w:rPr>
      </w:pPr>
    </w:p>
    <w:p w14:paraId="4FD2A303" w14:textId="4FB00C71" w:rsidR="004C2C41" w:rsidRPr="007920A9" w:rsidRDefault="004C2C41" w:rsidP="00026C12">
      <w:pPr>
        <w:autoSpaceDE w:val="0"/>
        <w:autoSpaceDN w:val="0"/>
        <w:adjustRightInd w:val="0"/>
        <w:spacing w:after="0" w:line="240" w:lineRule="auto"/>
        <w:jc w:val="both"/>
        <w:rPr>
          <w:b/>
          <w:bCs/>
          <w:sz w:val="24"/>
        </w:rPr>
      </w:pPr>
      <w:r w:rsidRPr="007920A9">
        <w:rPr>
          <w:b/>
          <w:bCs/>
          <w:sz w:val="24"/>
        </w:rPr>
        <w:t>4.5 Quelles données sont déjà publiées, soit gratuitement, soit contre paiement, et à quelles conditions ? (Importance: Élevée)</w:t>
      </w:r>
      <w:r w:rsidR="00A50FAC" w:rsidRPr="007920A9">
        <w:rPr>
          <w:b/>
          <w:bCs/>
          <w:sz w:val="24"/>
        </w:rPr>
        <w:t xml:space="preserve"> </w:t>
      </w:r>
      <w:r w:rsidR="00C26C2C">
        <w:rPr>
          <w:b/>
          <w:bCs/>
          <w:sz w:val="24"/>
          <w:highlight w:val="yellow"/>
        </w:rPr>
        <w:t>JAUNE</w:t>
      </w:r>
    </w:p>
    <w:p w14:paraId="5EC49144" w14:textId="7222F80C" w:rsidR="00C261A9" w:rsidRPr="007920A9" w:rsidRDefault="00C261A9" w:rsidP="001C539E">
      <w:pPr>
        <w:pStyle w:val="Paragraphedeliste"/>
        <w:numPr>
          <w:ilvl w:val="0"/>
          <w:numId w:val="23"/>
        </w:numPr>
        <w:autoSpaceDE w:val="0"/>
        <w:autoSpaceDN w:val="0"/>
        <w:adjustRightInd w:val="0"/>
        <w:spacing w:after="0" w:line="240" w:lineRule="auto"/>
        <w:jc w:val="both"/>
        <w:rPr>
          <w:bCs/>
          <w:sz w:val="24"/>
        </w:rPr>
      </w:pPr>
      <w:r w:rsidRPr="007920A9">
        <w:rPr>
          <w:bCs/>
          <w:sz w:val="24"/>
        </w:rPr>
        <w:t xml:space="preserve">La </w:t>
      </w:r>
      <w:r w:rsidR="006771EE" w:rsidRPr="007920A9">
        <w:rPr>
          <w:bCs/>
          <w:sz w:val="24"/>
        </w:rPr>
        <w:t>Tunisie</w:t>
      </w:r>
      <w:r w:rsidRPr="007920A9">
        <w:rPr>
          <w:bCs/>
          <w:sz w:val="24"/>
        </w:rPr>
        <w:t xml:space="preserve"> est engagée dans le programme BOOST</w:t>
      </w:r>
      <w:r w:rsidRPr="007920A9">
        <w:rPr>
          <w:rStyle w:val="Appelnotedebasdep"/>
          <w:bCs/>
          <w:sz w:val="24"/>
        </w:rPr>
        <w:footnoteReference w:id="57"/>
      </w:r>
      <w:r w:rsidRPr="007920A9">
        <w:rPr>
          <w:bCs/>
          <w:sz w:val="24"/>
        </w:rPr>
        <w:t xml:space="preserve"> de la Banque Mondiale et les données budgétaires sont disponibles sur le site de la Banque Mondiale en format électronique</w:t>
      </w:r>
      <w:r w:rsidR="00A50FAC" w:rsidRPr="007920A9">
        <w:rPr>
          <w:bCs/>
          <w:sz w:val="24"/>
        </w:rPr>
        <w:t xml:space="preserve"> ou sur </w:t>
      </w:r>
      <w:r w:rsidR="00D30263" w:rsidRPr="007920A9">
        <w:rPr>
          <w:bCs/>
          <w:sz w:val="24"/>
        </w:rPr>
        <w:t>le</w:t>
      </w:r>
      <w:r w:rsidR="00A50FAC" w:rsidRPr="007920A9">
        <w:rPr>
          <w:bCs/>
          <w:sz w:val="24"/>
        </w:rPr>
        <w:t xml:space="preserve"> portail BOOST de la </w:t>
      </w:r>
      <w:r w:rsidR="006771EE" w:rsidRPr="007920A9">
        <w:rPr>
          <w:bCs/>
          <w:sz w:val="24"/>
        </w:rPr>
        <w:t>Tunisie</w:t>
      </w:r>
      <w:r w:rsidR="006771EE" w:rsidRPr="007920A9">
        <w:rPr>
          <w:rStyle w:val="Appelnotedebasdep"/>
          <w:bCs/>
          <w:sz w:val="24"/>
        </w:rPr>
        <w:footnoteReference w:id="58"/>
      </w:r>
    </w:p>
    <w:p w14:paraId="3605BC1D" w14:textId="5275A030" w:rsidR="00C261A9" w:rsidRPr="007920A9" w:rsidRDefault="00A45C1E" w:rsidP="001C539E">
      <w:pPr>
        <w:pStyle w:val="Paragraphedeliste"/>
        <w:numPr>
          <w:ilvl w:val="0"/>
          <w:numId w:val="23"/>
        </w:numPr>
        <w:autoSpaceDE w:val="0"/>
        <w:autoSpaceDN w:val="0"/>
        <w:adjustRightInd w:val="0"/>
        <w:spacing w:after="0" w:line="240" w:lineRule="auto"/>
        <w:jc w:val="both"/>
        <w:rPr>
          <w:bCs/>
          <w:sz w:val="24"/>
        </w:rPr>
      </w:pPr>
      <w:r w:rsidRPr="007920A9">
        <w:rPr>
          <w:bCs/>
          <w:sz w:val="24"/>
        </w:rPr>
        <w:t>La Tunisie</w:t>
      </w:r>
      <w:r w:rsidR="00C261A9" w:rsidRPr="007920A9">
        <w:rPr>
          <w:bCs/>
          <w:sz w:val="24"/>
        </w:rPr>
        <w:t xml:space="preserve"> est </w:t>
      </w:r>
      <w:r w:rsidR="00073406">
        <w:rPr>
          <w:bCs/>
          <w:sz w:val="24"/>
        </w:rPr>
        <w:t xml:space="preserve">en </w:t>
      </w:r>
      <w:r w:rsidR="000E2B23">
        <w:rPr>
          <w:bCs/>
          <w:sz w:val="24"/>
        </w:rPr>
        <w:t xml:space="preserve">phase de préparation pour devenir </w:t>
      </w:r>
      <w:r w:rsidR="00C261A9" w:rsidRPr="007920A9">
        <w:rPr>
          <w:bCs/>
          <w:sz w:val="24"/>
        </w:rPr>
        <w:t xml:space="preserve">membre de l’initiative </w:t>
      </w:r>
      <w:r w:rsidR="00A50FAC" w:rsidRPr="007920A9">
        <w:rPr>
          <w:bCs/>
          <w:sz w:val="24"/>
        </w:rPr>
        <w:t>ITIE</w:t>
      </w:r>
      <w:r w:rsidR="00C261A9" w:rsidRPr="007920A9">
        <w:rPr>
          <w:bCs/>
          <w:sz w:val="24"/>
        </w:rPr>
        <w:t xml:space="preserve"> (</w:t>
      </w:r>
      <w:r w:rsidR="00A50FAC" w:rsidRPr="007920A9">
        <w:rPr>
          <w:bCs/>
          <w:sz w:val="24"/>
        </w:rPr>
        <w:t>Initiative de Transparence de Industries Extractives</w:t>
      </w:r>
      <w:r w:rsidR="00C261A9" w:rsidRPr="007920A9">
        <w:rPr>
          <w:bCs/>
          <w:sz w:val="24"/>
        </w:rPr>
        <w:t xml:space="preserve">) </w:t>
      </w:r>
      <w:r w:rsidR="00C261A9" w:rsidRPr="007920A9">
        <w:rPr>
          <w:rStyle w:val="Appelnotedebasdep"/>
          <w:bCs/>
          <w:sz w:val="24"/>
        </w:rPr>
        <w:footnoteReference w:id="59"/>
      </w:r>
      <w:r w:rsidR="00C261A9" w:rsidRPr="007920A9">
        <w:rPr>
          <w:bCs/>
          <w:sz w:val="24"/>
        </w:rPr>
        <w:t xml:space="preserve"> et publie un certain nombre de données</w:t>
      </w:r>
      <w:r w:rsidRPr="007920A9">
        <w:rPr>
          <w:rStyle w:val="Appelnotedebasdep"/>
          <w:bCs/>
          <w:sz w:val="24"/>
        </w:rPr>
        <w:footnoteReference w:id="60"/>
      </w:r>
    </w:p>
    <w:p w14:paraId="2F1FF9DB" w14:textId="7FB36733" w:rsidR="00A45C1E" w:rsidRDefault="00A45C1E" w:rsidP="001C539E">
      <w:pPr>
        <w:pStyle w:val="Paragraphedeliste"/>
        <w:numPr>
          <w:ilvl w:val="0"/>
          <w:numId w:val="24"/>
        </w:numPr>
        <w:autoSpaceDE w:val="0"/>
        <w:autoSpaceDN w:val="0"/>
        <w:adjustRightInd w:val="0"/>
        <w:spacing w:after="0" w:line="240" w:lineRule="auto"/>
        <w:jc w:val="both"/>
        <w:rPr>
          <w:bCs/>
          <w:sz w:val="24"/>
        </w:rPr>
      </w:pPr>
      <w:r w:rsidRPr="007920A9">
        <w:rPr>
          <w:bCs/>
          <w:sz w:val="24"/>
        </w:rPr>
        <w:t>De nombreux ministères publient des données sur leur propre portail (</w:t>
      </w:r>
      <w:r w:rsidR="00BB2F78">
        <w:rPr>
          <w:bCs/>
          <w:sz w:val="24"/>
        </w:rPr>
        <w:t xml:space="preserve">MIC, MINT, MEMER, MIF, </w:t>
      </w:r>
      <w:r w:rsidRPr="007920A9">
        <w:rPr>
          <w:bCs/>
          <w:sz w:val="24"/>
        </w:rPr>
        <w:t>… voir Annexe 1 sur l’analyse des données)</w:t>
      </w:r>
    </w:p>
    <w:p w14:paraId="35FBACAA" w14:textId="120B7968" w:rsidR="00BB2F78" w:rsidRPr="007920A9" w:rsidRDefault="00BB2F78" w:rsidP="001C539E">
      <w:pPr>
        <w:pStyle w:val="Paragraphedeliste"/>
        <w:numPr>
          <w:ilvl w:val="0"/>
          <w:numId w:val="24"/>
        </w:numPr>
        <w:autoSpaceDE w:val="0"/>
        <w:autoSpaceDN w:val="0"/>
        <w:adjustRightInd w:val="0"/>
        <w:spacing w:after="0" w:line="240" w:lineRule="auto"/>
        <w:jc w:val="both"/>
        <w:rPr>
          <w:bCs/>
          <w:sz w:val="24"/>
        </w:rPr>
      </w:pPr>
      <w:r>
        <w:rPr>
          <w:bCs/>
          <w:sz w:val="24"/>
        </w:rPr>
        <w:t>Toutes les données sur les marchés publiques sont publiées (obligation légale pour les appels d’offres, les plans de passation des marchés, et les résultats des appels d’offre)</w:t>
      </w:r>
    </w:p>
    <w:p w14:paraId="035CC734" w14:textId="561714F7" w:rsidR="00A45C1E" w:rsidRPr="007920A9" w:rsidRDefault="00A45C1E" w:rsidP="001C539E">
      <w:pPr>
        <w:pStyle w:val="Paragraphedeliste"/>
        <w:numPr>
          <w:ilvl w:val="0"/>
          <w:numId w:val="24"/>
        </w:numPr>
        <w:autoSpaceDE w:val="0"/>
        <w:autoSpaceDN w:val="0"/>
        <w:adjustRightInd w:val="0"/>
        <w:spacing w:after="0" w:line="240" w:lineRule="auto"/>
        <w:jc w:val="both"/>
        <w:rPr>
          <w:bCs/>
          <w:sz w:val="24"/>
        </w:rPr>
      </w:pPr>
      <w:r w:rsidRPr="007920A9">
        <w:rPr>
          <w:bCs/>
          <w:sz w:val="24"/>
        </w:rPr>
        <w:t>Des initiatives de publications de données au niveau municipal existent depuis 2012 comme pour la Ville de Sayada</w:t>
      </w:r>
      <w:r w:rsidRPr="007920A9">
        <w:rPr>
          <w:rStyle w:val="Appelnotedebasdep"/>
          <w:bCs/>
          <w:sz w:val="24"/>
        </w:rPr>
        <w:footnoteReference w:id="61"/>
      </w:r>
    </w:p>
    <w:p w14:paraId="0AABAE3F" w14:textId="353C25C9" w:rsidR="00A50FAC" w:rsidRDefault="00B95919" w:rsidP="001C539E">
      <w:pPr>
        <w:pStyle w:val="Paragraphedeliste"/>
        <w:numPr>
          <w:ilvl w:val="0"/>
          <w:numId w:val="24"/>
        </w:numPr>
        <w:autoSpaceDE w:val="0"/>
        <w:autoSpaceDN w:val="0"/>
        <w:adjustRightInd w:val="0"/>
        <w:spacing w:after="0" w:line="240" w:lineRule="auto"/>
        <w:jc w:val="both"/>
        <w:rPr>
          <w:bCs/>
          <w:sz w:val="24"/>
        </w:rPr>
      </w:pPr>
      <w:r>
        <w:rPr>
          <w:bCs/>
          <w:sz w:val="24"/>
        </w:rPr>
        <w:t>La quasi-totalité</w:t>
      </w:r>
      <w:r w:rsidR="00A50FAC" w:rsidRPr="007920A9">
        <w:rPr>
          <w:bCs/>
          <w:sz w:val="24"/>
        </w:rPr>
        <w:t xml:space="preserve"> </w:t>
      </w:r>
      <w:r>
        <w:rPr>
          <w:bCs/>
          <w:sz w:val="24"/>
        </w:rPr>
        <w:t xml:space="preserve">des </w:t>
      </w:r>
      <w:r w:rsidR="00C66790" w:rsidRPr="007920A9">
        <w:rPr>
          <w:bCs/>
          <w:sz w:val="24"/>
        </w:rPr>
        <w:t>jeu</w:t>
      </w:r>
      <w:r>
        <w:rPr>
          <w:bCs/>
          <w:sz w:val="24"/>
        </w:rPr>
        <w:t>x</w:t>
      </w:r>
      <w:r w:rsidR="00A50FAC" w:rsidRPr="007920A9">
        <w:rPr>
          <w:bCs/>
          <w:sz w:val="24"/>
        </w:rPr>
        <w:t xml:space="preserve"> de données </w:t>
      </w:r>
      <w:r>
        <w:rPr>
          <w:bCs/>
          <w:sz w:val="24"/>
        </w:rPr>
        <w:t>publiés sont gratuits</w:t>
      </w:r>
    </w:p>
    <w:p w14:paraId="11D501F2" w14:textId="08669ADB" w:rsidR="00B95919" w:rsidRDefault="006B5D45" w:rsidP="00D5699E">
      <w:pPr>
        <w:pStyle w:val="Paragraphedeliste"/>
        <w:numPr>
          <w:ilvl w:val="0"/>
          <w:numId w:val="52"/>
        </w:numPr>
        <w:autoSpaceDE w:val="0"/>
        <w:autoSpaceDN w:val="0"/>
        <w:adjustRightInd w:val="0"/>
        <w:spacing w:after="0" w:line="240" w:lineRule="auto"/>
        <w:jc w:val="both"/>
        <w:rPr>
          <w:bCs/>
          <w:sz w:val="24"/>
        </w:rPr>
      </w:pPr>
      <w:r>
        <w:rPr>
          <w:bCs/>
          <w:sz w:val="24"/>
        </w:rPr>
        <w:t>Seules les informations</w:t>
      </w:r>
      <w:r w:rsidR="00B95919">
        <w:rPr>
          <w:bCs/>
          <w:sz w:val="24"/>
        </w:rPr>
        <w:t xml:space="preserve"> du registre du commerce</w:t>
      </w:r>
      <w:r w:rsidR="00B95919">
        <w:rPr>
          <w:rStyle w:val="Appelnotedebasdep"/>
          <w:bCs/>
          <w:sz w:val="24"/>
        </w:rPr>
        <w:footnoteReference w:id="62"/>
      </w:r>
      <w:r w:rsidR="00B95919">
        <w:rPr>
          <w:bCs/>
          <w:sz w:val="24"/>
        </w:rPr>
        <w:t xml:space="preserve"> sont payantes </w:t>
      </w:r>
    </w:p>
    <w:p w14:paraId="6F8C0016" w14:textId="5ABBD1C3" w:rsidR="00BB2F78" w:rsidRDefault="00BB2F78" w:rsidP="00D5699E">
      <w:pPr>
        <w:pStyle w:val="Paragraphedeliste"/>
        <w:numPr>
          <w:ilvl w:val="0"/>
          <w:numId w:val="52"/>
        </w:numPr>
        <w:autoSpaceDE w:val="0"/>
        <w:autoSpaceDN w:val="0"/>
        <w:adjustRightInd w:val="0"/>
        <w:spacing w:after="0" w:line="240" w:lineRule="auto"/>
        <w:jc w:val="both"/>
        <w:rPr>
          <w:bCs/>
          <w:sz w:val="24"/>
        </w:rPr>
      </w:pPr>
      <w:r>
        <w:rPr>
          <w:bCs/>
          <w:sz w:val="24"/>
        </w:rPr>
        <w:t xml:space="preserve">Le manque de sensibilisation à l’Open Data a pour conséquence que certaines structures ne publient pas leurs données sous format ouvert (ex. HAICOP/TUNEPS) alors qu’elles sont tout à fait </w:t>
      </w:r>
      <w:r w:rsidR="006B5D45">
        <w:rPr>
          <w:bCs/>
          <w:sz w:val="24"/>
        </w:rPr>
        <w:t>ouvertes</w:t>
      </w:r>
      <w:r>
        <w:rPr>
          <w:bCs/>
          <w:sz w:val="24"/>
        </w:rPr>
        <w:t xml:space="preserve"> à l’idée.</w:t>
      </w:r>
    </w:p>
    <w:p w14:paraId="16F6FFEC" w14:textId="208AFA3A" w:rsidR="00B739C3" w:rsidRPr="00B739C3" w:rsidRDefault="00BB2F78" w:rsidP="00D5699E">
      <w:pPr>
        <w:pStyle w:val="Paragraphedeliste"/>
        <w:numPr>
          <w:ilvl w:val="0"/>
          <w:numId w:val="52"/>
        </w:numPr>
        <w:autoSpaceDE w:val="0"/>
        <w:autoSpaceDN w:val="0"/>
        <w:adjustRightInd w:val="0"/>
        <w:spacing w:after="0" w:line="240" w:lineRule="auto"/>
        <w:jc w:val="both"/>
        <w:rPr>
          <w:bCs/>
          <w:sz w:val="24"/>
        </w:rPr>
      </w:pPr>
      <w:r>
        <w:rPr>
          <w:bCs/>
          <w:sz w:val="24"/>
        </w:rPr>
        <w:t>La méconnaissance des spécificités techniques de l’Open Data fait que des données sont publiées mais pas pleinement exploitables</w:t>
      </w:r>
      <w:r w:rsidR="00054FB4">
        <w:rPr>
          <w:bCs/>
          <w:sz w:val="24"/>
        </w:rPr>
        <w:t xml:space="preserve"> et ne correspondant pas à la définition de jeux de données ouvertes</w:t>
      </w:r>
      <w:r>
        <w:rPr>
          <w:bCs/>
          <w:sz w:val="24"/>
        </w:rPr>
        <w:t xml:space="preserve"> (les données BOOST par exemple</w:t>
      </w:r>
      <w:r w:rsidR="00054FB4">
        <w:rPr>
          <w:bCs/>
          <w:sz w:val="24"/>
        </w:rPr>
        <w:t xml:space="preserve"> ou certain liens de téléchargement sur le portail de données pointant vers des formulaires rendant les jeux non accessibles informatiquement)</w:t>
      </w:r>
    </w:p>
    <w:p w14:paraId="748C918D" w14:textId="0EA71EF6" w:rsidR="00BB2F78" w:rsidRPr="00BB2F78" w:rsidRDefault="00BB2F78" w:rsidP="00D5699E">
      <w:pPr>
        <w:pStyle w:val="Paragraphedeliste"/>
        <w:numPr>
          <w:ilvl w:val="0"/>
          <w:numId w:val="87"/>
        </w:numPr>
        <w:autoSpaceDE w:val="0"/>
        <w:autoSpaceDN w:val="0"/>
        <w:adjustRightInd w:val="0"/>
        <w:spacing w:after="0" w:line="240" w:lineRule="auto"/>
        <w:jc w:val="both"/>
        <w:rPr>
          <w:bCs/>
          <w:sz w:val="24"/>
        </w:rPr>
      </w:pPr>
      <w:r>
        <w:rPr>
          <w:bCs/>
          <w:sz w:val="24"/>
        </w:rPr>
        <w:t>Certains jeux de données n’ont pas de licences et c</w:t>
      </w:r>
      <w:r w:rsidRPr="00BB2F78">
        <w:rPr>
          <w:bCs/>
          <w:sz w:val="24"/>
        </w:rPr>
        <w:t>ertains jeux de données ont une licence plus restrictive (e.g. données du MIC</w:t>
      </w:r>
      <w:r>
        <w:rPr>
          <w:bCs/>
          <w:sz w:val="24"/>
        </w:rPr>
        <w:t xml:space="preserve"> non autorisé</w:t>
      </w:r>
      <w:r w:rsidR="005A645F">
        <w:rPr>
          <w:bCs/>
          <w:sz w:val="24"/>
        </w:rPr>
        <w:t>es</w:t>
      </w:r>
      <w:r>
        <w:rPr>
          <w:bCs/>
          <w:sz w:val="24"/>
        </w:rPr>
        <w:t xml:space="preserve"> commercialement) mais cet état de fait est plus lié à une méconnaissance des licences plutôt qu’un choix délibéré.</w:t>
      </w:r>
    </w:p>
    <w:p w14:paraId="7748551D" w14:textId="77777777" w:rsidR="006F04A3" w:rsidRPr="007920A9" w:rsidRDefault="006F04A3" w:rsidP="00026C12">
      <w:pPr>
        <w:pStyle w:val="Paragraphedeliste"/>
        <w:autoSpaceDE w:val="0"/>
        <w:autoSpaceDN w:val="0"/>
        <w:adjustRightInd w:val="0"/>
        <w:spacing w:after="0" w:line="240" w:lineRule="auto"/>
        <w:ind w:left="765"/>
        <w:jc w:val="both"/>
        <w:rPr>
          <w:bCs/>
          <w:sz w:val="24"/>
        </w:rPr>
      </w:pPr>
    </w:p>
    <w:p w14:paraId="7D7C348B" w14:textId="4A188EDF" w:rsidR="004C2C41" w:rsidRPr="007920A9" w:rsidRDefault="004C2C41" w:rsidP="00026C12">
      <w:pPr>
        <w:autoSpaceDE w:val="0"/>
        <w:autoSpaceDN w:val="0"/>
        <w:adjustRightInd w:val="0"/>
        <w:spacing w:after="0" w:line="240" w:lineRule="auto"/>
        <w:jc w:val="both"/>
        <w:rPr>
          <w:b/>
          <w:bCs/>
          <w:sz w:val="24"/>
        </w:rPr>
      </w:pPr>
      <w:r w:rsidRPr="007920A9">
        <w:rPr>
          <w:b/>
          <w:bCs/>
          <w:sz w:val="24"/>
        </w:rPr>
        <w:t>4.6 Quelle expérience pratique existe au sein du gouvernement concernant l’anonymisation des données à caractères personnels? (Importance: Élevée)</w:t>
      </w:r>
      <w:r w:rsidR="00A50FAC" w:rsidRPr="007920A9">
        <w:rPr>
          <w:b/>
          <w:bCs/>
          <w:sz w:val="24"/>
        </w:rPr>
        <w:t xml:space="preserve"> </w:t>
      </w:r>
      <w:r w:rsidR="00B739C3" w:rsidRPr="00B739C3">
        <w:rPr>
          <w:b/>
          <w:bCs/>
          <w:sz w:val="24"/>
          <w:highlight w:val="yellow"/>
        </w:rPr>
        <w:t>JAUNE</w:t>
      </w:r>
    </w:p>
    <w:p w14:paraId="797B6711" w14:textId="0EAE4FBA" w:rsidR="00B739C3" w:rsidRDefault="00B739C3" w:rsidP="001C539E">
      <w:pPr>
        <w:pStyle w:val="Paragraphedeliste"/>
        <w:numPr>
          <w:ilvl w:val="0"/>
          <w:numId w:val="25"/>
        </w:numPr>
        <w:autoSpaceDE w:val="0"/>
        <w:autoSpaceDN w:val="0"/>
        <w:adjustRightInd w:val="0"/>
        <w:spacing w:after="0" w:line="240" w:lineRule="auto"/>
        <w:jc w:val="both"/>
        <w:rPr>
          <w:rFonts w:cs="Times New Roman"/>
          <w:sz w:val="24"/>
        </w:rPr>
      </w:pPr>
      <w:r>
        <w:rPr>
          <w:rFonts w:cs="Times New Roman"/>
          <w:sz w:val="24"/>
        </w:rPr>
        <w:t>L’INS e</w:t>
      </w:r>
      <w:r w:rsidR="00096501">
        <w:rPr>
          <w:rFonts w:cs="Times New Roman"/>
          <w:sz w:val="24"/>
        </w:rPr>
        <w:t>st</w:t>
      </w:r>
      <w:r>
        <w:rPr>
          <w:rFonts w:cs="Times New Roman"/>
          <w:sz w:val="24"/>
        </w:rPr>
        <w:t xml:space="preserve"> en cours de monté une unité d’anonymisation et une personne est actuellement dédiée à cette tâche avec l’expertise adéquate </w:t>
      </w:r>
    </w:p>
    <w:p w14:paraId="29F95D65" w14:textId="1E803066" w:rsidR="004C2C41" w:rsidRPr="00B739C3" w:rsidRDefault="00B739C3" w:rsidP="00D5699E">
      <w:pPr>
        <w:pStyle w:val="Paragraphedeliste"/>
        <w:numPr>
          <w:ilvl w:val="0"/>
          <w:numId w:val="88"/>
        </w:numPr>
        <w:autoSpaceDE w:val="0"/>
        <w:autoSpaceDN w:val="0"/>
        <w:adjustRightInd w:val="0"/>
        <w:spacing w:after="0" w:line="240" w:lineRule="auto"/>
        <w:jc w:val="both"/>
        <w:rPr>
          <w:b/>
          <w:bCs/>
          <w:sz w:val="24"/>
        </w:rPr>
      </w:pPr>
      <w:r>
        <w:rPr>
          <w:rFonts w:cs="Times New Roman"/>
          <w:sz w:val="24"/>
        </w:rPr>
        <w:t xml:space="preserve">A part l’INS, il est difficile d’identifier des compétences et l’utilisation de techniques d’anonymisation par les autres </w:t>
      </w:r>
      <w:r w:rsidR="005A645F">
        <w:rPr>
          <w:rFonts w:cs="Times New Roman"/>
          <w:sz w:val="24"/>
        </w:rPr>
        <w:t>organismes publics</w:t>
      </w:r>
    </w:p>
    <w:p w14:paraId="4289CF37" w14:textId="69792F32" w:rsidR="00B739C3" w:rsidRPr="001B6DD5" w:rsidRDefault="00B739C3" w:rsidP="00D5699E">
      <w:pPr>
        <w:pStyle w:val="Paragraphedeliste"/>
        <w:numPr>
          <w:ilvl w:val="0"/>
          <w:numId w:val="88"/>
        </w:numPr>
        <w:autoSpaceDE w:val="0"/>
        <w:autoSpaceDN w:val="0"/>
        <w:adjustRightInd w:val="0"/>
        <w:spacing w:after="0" w:line="240" w:lineRule="auto"/>
        <w:jc w:val="both"/>
        <w:rPr>
          <w:b/>
          <w:bCs/>
          <w:sz w:val="24"/>
        </w:rPr>
      </w:pPr>
      <w:r>
        <w:rPr>
          <w:rFonts w:cs="Times New Roman"/>
          <w:sz w:val="24"/>
        </w:rPr>
        <w:t xml:space="preserve">L’INPDP rapporte une très faible sensibilisation de l’administration sur les problèmes liés à l’anonymisation des données et notamment </w:t>
      </w:r>
      <w:r w:rsidR="006B5D45">
        <w:rPr>
          <w:rFonts w:cs="Times New Roman"/>
          <w:sz w:val="24"/>
        </w:rPr>
        <w:t>le champ</w:t>
      </w:r>
      <w:r>
        <w:rPr>
          <w:rFonts w:cs="Times New Roman"/>
          <w:sz w:val="24"/>
        </w:rPr>
        <w:t xml:space="preserve"> d’action de la loi de la protection des données</w:t>
      </w:r>
    </w:p>
    <w:p w14:paraId="69148F91" w14:textId="77777777" w:rsidR="00653E86" w:rsidRPr="007920A9" w:rsidRDefault="00653E86" w:rsidP="00653E86">
      <w:pPr>
        <w:pStyle w:val="Paragraphedeliste"/>
        <w:autoSpaceDE w:val="0"/>
        <w:autoSpaceDN w:val="0"/>
        <w:adjustRightInd w:val="0"/>
        <w:spacing w:after="0" w:line="240" w:lineRule="auto"/>
        <w:jc w:val="both"/>
        <w:rPr>
          <w:b/>
          <w:bCs/>
          <w:sz w:val="24"/>
        </w:rPr>
      </w:pPr>
    </w:p>
    <w:p w14:paraId="5E80B44C" w14:textId="2F52BBE9" w:rsidR="004C2C41" w:rsidRPr="007920A9" w:rsidRDefault="004C2C41" w:rsidP="00026C12">
      <w:pPr>
        <w:autoSpaceDE w:val="0"/>
        <w:autoSpaceDN w:val="0"/>
        <w:adjustRightInd w:val="0"/>
        <w:spacing w:after="0" w:line="240" w:lineRule="auto"/>
        <w:jc w:val="both"/>
        <w:rPr>
          <w:b/>
          <w:bCs/>
          <w:sz w:val="24"/>
        </w:rPr>
      </w:pPr>
      <w:r w:rsidRPr="007920A9">
        <w:rPr>
          <w:b/>
          <w:bCs/>
          <w:sz w:val="24"/>
        </w:rPr>
        <w:t xml:space="preserve">4.7 Existe-t-il des agences ayant des capacités existantes en matière de gestion des données (par exemple, </w:t>
      </w:r>
      <w:r w:rsidR="005A645F">
        <w:rPr>
          <w:b/>
          <w:bCs/>
          <w:sz w:val="24"/>
        </w:rPr>
        <w:t>l’Institut</w:t>
      </w:r>
      <w:r w:rsidR="005A645F" w:rsidRPr="007920A9">
        <w:rPr>
          <w:b/>
          <w:bCs/>
          <w:sz w:val="24"/>
        </w:rPr>
        <w:t xml:space="preserve"> </w:t>
      </w:r>
      <w:r w:rsidRPr="007920A9">
        <w:rPr>
          <w:b/>
          <w:bCs/>
          <w:sz w:val="24"/>
        </w:rPr>
        <w:t>National de la Statistique) qui pourraient assurer le leadership d’une initiative plus large ?</w:t>
      </w:r>
      <w:r w:rsidR="008B3687" w:rsidRPr="007920A9">
        <w:rPr>
          <w:b/>
          <w:bCs/>
          <w:sz w:val="24"/>
        </w:rPr>
        <w:t xml:space="preserve"> (Importance: Moyenne)</w:t>
      </w:r>
      <w:r w:rsidR="00A50FAC" w:rsidRPr="007920A9">
        <w:rPr>
          <w:b/>
          <w:bCs/>
          <w:sz w:val="24"/>
        </w:rPr>
        <w:t xml:space="preserve"> </w:t>
      </w:r>
      <w:r w:rsidR="00B739C3" w:rsidRPr="00B739C3">
        <w:rPr>
          <w:b/>
          <w:bCs/>
          <w:sz w:val="24"/>
          <w:highlight w:val="yellow"/>
        </w:rPr>
        <w:t>JAUNE</w:t>
      </w:r>
    </w:p>
    <w:p w14:paraId="0A91AD54" w14:textId="5F08190F" w:rsidR="00A50FAC" w:rsidRDefault="00B739C3" w:rsidP="00D5699E">
      <w:pPr>
        <w:pStyle w:val="Paragraphedeliste"/>
        <w:numPr>
          <w:ilvl w:val="0"/>
          <w:numId w:val="89"/>
        </w:numPr>
        <w:autoSpaceDE w:val="0"/>
        <w:autoSpaceDN w:val="0"/>
        <w:adjustRightInd w:val="0"/>
        <w:spacing w:after="0" w:line="240" w:lineRule="auto"/>
        <w:jc w:val="both"/>
        <w:rPr>
          <w:bCs/>
          <w:sz w:val="24"/>
        </w:rPr>
      </w:pPr>
      <w:r w:rsidRPr="00B739C3">
        <w:rPr>
          <w:bCs/>
          <w:sz w:val="24"/>
        </w:rPr>
        <w:t>L’INS a des capacités claires dans la gestion et l’analyse de données (visualisation</w:t>
      </w:r>
      <w:r w:rsidR="00C26C2C">
        <w:rPr>
          <w:bCs/>
          <w:sz w:val="24"/>
        </w:rPr>
        <w:t>)</w:t>
      </w:r>
    </w:p>
    <w:p w14:paraId="54B645BD" w14:textId="12946CF3" w:rsidR="00C26C2C" w:rsidRDefault="00C26C2C" w:rsidP="00D5699E">
      <w:pPr>
        <w:pStyle w:val="Paragraphedeliste"/>
        <w:numPr>
          <w:ilvl w:val="0"/>
          <w:numId w:val="89"/>
        </w:numPr>
        <w:autoSpaceDE w:val="0"/>
        <w:autoSpaceDN w:val="0"/>
        <w:adjustRightInd w:val="0"/>
        <w:spacing w:after="0" w:line="240" w:lineRule="auto"/>
        <w:jc w:val="both"/>
        <w:rPr>
          <w:bCs/>
          <w:sz w:val="24"/>
        </w:rPr>
      </w:pPr>
      <w:r>
        <w:rPr>
          <w:bCs/>
          <w:sz w:val="24"/>
        </w:rPr>
        <w:t>De nombreux observatoires dans la plupart des ministères suivent des indicateurs et donc possèdent les capacités nécessaires</w:t>
      </w:r>
    </w:p>
    <w:p w14:paraId="63245C13" w14:textId="28A572F6" w:rsidR="00C26C2C" w:rsidRDefault="00C26C2C" w:rsidP="00D5699E">
      <w:pPr>
        <w:pStyle w:val="Paragraphedeliste"/>
        <w:numPr>
          <w:ilvl w:val="0"/>
          <w:numId w:val="89"/>
        </w:numPr>
        <w:autoSpaceDE w:val="0"/>
        <w:autoSpaceDN w:val="0"/>
        <w:adjustRightInd w:val="0"/>
        <w:spacing w:after="0" w:line="240" w:lineRule="auto"/>
        <w:jc w:val="both"/>
        <w:rPr>
          <w:bCs/>
          <w:sz w:val="24"/>
        </w:rPr>
      </w:pPr>
      <w:r>
        <w:rPr>
          <w:bCs/>
          <w:sz w:val="24"/>
        </w:rPr>
        <w:t xml:space="preserve">Plusieurs ministères ont mis en place des portails de données et ont développés une expérience sur les plateformes techniques, les standards de métadonnées (DCAT/DCAT-AP/SDMX), et </w:t>
      </w:r>
      <w:r w:rsidR="006B5D45">
        <w:rPr>
          <w:bCs/>
          <w:sz w:val="24"/>
        </w:rPr>
        <w:t>la publication automatisée</w:t>
      </w:r>
    </w:p>
    <w:p w14:paraId="7CBCEA51" w14:textId="6C6537C4" w:rsidR="00C26C2C" w:rsidRPr="00B739C3" w:rsidRDefault="000E2B23" w:rsidP="00D5699E">
      <w:pPr>
        <w:pStyle w:val="Paragraphedeliste"/>
        <w:numPr>
          <w:ilvl w:val="0"/>
          <w:numId w:val="90"/>
        </w:numPr>
        <w:autoSpaceDE w:val="0"/>
        <w:autoSpaceDN w:val="0"/>
        <w:adjustRightInd w:val="0"/>
        <w:spacing w:after="0" w:line="240" w:lineRule="auto"/>
        <w:jc w:val="both"/>
        <w:rPr>
          <w:bCs/>
          <w:sz w:val="24"/>
        </w:rPr>
      </w:pPr>
      <w:r>
        <w:rPr>
          <w:bCs/>
          <w:sz w:val="24"/>
        </w:rPr>
        <w:t>Beaucoup de</w:t>
      </w:r>
      <w:r w:rsidR="00C26C2C">
        <w:rPr>
          <w:bCs/>
          <w:sz w:val="24"/>
        </w:rPr>
        <w:t xml:space="preserve"> structure</w:t>
      </w:r>
      <w:r>
        <w:rPr>
          <w:bCs/>
          <w:sz w:val="24"/>
        </w:rPr>
        <w:t>s</w:t>
      </w:r>
      <w:r w:rsidR="00C26C2C">
        <w:rPr>
          <w:bCs/>
          <w:sz w:val="24"/>
        </w:rPr>
        <w:t xml:space="preserve"> n</w:t>
      </w:r>
      <w:r>
        <w:rPr>
          <w:bCs/>
          <w:sz w:val="24"/>
        </w:rPr>
        <w:t>e sont pas</w:t>
      </w:r>
      <w:r w:rsidR="00C26C2C">
        <w:rPr>
          <w:bCs/>
          <w:sz w:val="24"/>
        </w:rPr>
        <w:t xml:space="preserve"> sensibilisée</w:t>
      </w:r>
      <w:r>
        <w:rPr>
          <w:bCs/>
          <w:sz w:val="24"/>
        </w:rPr>
        <w:t>s</w:t>
      </w:r>
      <w:r w:rsidR="00C26C2C">
        <w:rPr>
          <w:bCs/>
          <w:sz w:val="24"/>
        </w:rPr>
        <w:t xml:space="preserve"> à l’Open Data et la </w:t>
      </w:r>
      <w:r>
        <w:rPr>
          <w:bCs/>
          <w:sz w:val="24"/>
        </w:rPr>
        <w:t>majorité</w:t>
      </w:r>
      <w:r w:rsidR="00C26C2C">
        <w:rPr>
          <w:bCs/>
          <w:sz w:val="24"/>
        </w:rPr>
        <w:t xml:space="preserve"> des interlocuteurs rencontrés ne fait pas la différence entre information et donnée, entre publication sur un site web et publication sur un portail de donnée, entre jeux de données et informations accessibles via un formulaire ou entre données brutes et statistiques.</w:t>
      </w:r>
    </w:p>
    <w:p w14:paraId="48DF1913" w14:textId="77777777" w:rsidR="00A50FAC" w:rsidRPr="007920A9" w:rsidRDefault="00A50FAC" w:rsidP="00026C12">
      <w:pPr>
        <w:pStyle w:val="Sous-titre"/>
        <w:spacing w:before="0" w:after="240"/>
        <w:jc w:val="both"/>
        <w:rPr>
          <w:rStyle w:val="Emphaseple"/>
          <w:color w:val="auto"/>
          <w:lang w:val="fr-FR"/>
        </w:rPr>
      </w:pPr>
      <w:r w:rsidRPr="007920A9">
        <w:rPr>
          <w:rStyle w:val="Emphaseple"/>
          <w:color w:val="auto"/>
          <w:lang w:val="fr-FR"/>
        </w:rPr>
        <w:t>Evaluation des DONNEES AU SEIN DU GOUVERNEMENT, REGLEMENTATIONS ET PROCEDURES DE LA GESTION DES DONNEES GOUVERNEMENTALES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276"/>
        <w:gridCol w:w="1417"/>
        <w:gridCol w:w="4536"/>
      </w:tblGrid>
      <w:tr w:rsidR="00026C12" w:rsidRPr="007920A9" w14:paraId="5624FF6F" w14:textId="77777777" w:rsidTr="00A50FAC">
        <w:trPr>
          <w:cantSplit/>
          <w:trHeight w:val="305"/>
          <w:tblHeader/>
        </w:trPr>
        <w:tc>
          <w:tcPr>
            <w:tcW w:w="1951" w:type="dxa"/>
            <w:shd w:val="clear" w:color="auto" w:fill="D9D9D9" w:themeFill="background1" w:themeFillShade="D9"/>
            <w:vAlign w:val="center"/>
          </w:tcPr>
          <w:p w14:paraId="31D1C63E" w14:textId="77777777" w:rsidR="00A50FAC" w:rsidRPr="007920A9" w:rsidRDefault="00A50FAC" w:rsidP="00026C12">
            <w:pPr>
              <w:spacing w:after="0"/>
              <w:jc w:val="both"/>
              <w:rPr>
                <w:b/>
              </w:rPr>
            </w:pPr>
            <w:r w:rsidRPr="007920A9">
              <w:rPr>
                <w:b/>
              </w:rPr>
              <w:t>Domaine</w:t>
            </w:r>
          </w:p>
        </w:tc>
        <w:tc>
          <w:tcPr>
            <w:tcW w:w="1276" w:type="dxa"/>
            <w:shd w:val="clear" w:color="auto" w:fill="D9D9D9" w:themeFill="background1" w:themeFillShade="D9"/>
            <w:vAlign w:val="center"/>
          </w:tcPr>
          <w:p w14:paraId="57AF1848" w14:textId="77777777" w:rsidR="00A50FAC" w:rsidRPr="007920A9" w:rsidRDefault="00A50FAC" w:rsidP="00026C12">
            <w:pPr>
              <w:spacing w:after="0"/>
              <w:jc w:val="both"/>
              <w:rPr>
                <w:b/>
              </w:rPr>
            </w:pPr>
            <w:r w:rsidRPr="007920A9">
              <w:rPr>
                <w:b/>
              </w:rPr>
              <w:t>Importance</w:t>
            </w:r>
          </w:p>
        </w:tc>
        <w:tc>
          <w:tcPr>
            <w:tcW w:w="1417" w:type="dxa"/>
            <w:shd w:val="clear" w:color="auto" w:fill="D9D9D9" w:themeFill="background1" w:themeFillShade="D9"/>
            <w:vAlign w:val="center"/>
          </w:tcPr>
          <w:p w14:paraId="7343613D" w14:textId="77777777" w:rsidR="00A50FAC" w:rsidRPr="007920A9" w:rsidRDefault="00A50FAC" w:rsidP="00026C12">
            <w:pPr>
              <w:spacing w:after="0"/>
              <w:jc w:val="both"/>
              <w:rPr>
                <w:b/>
              </w:rPr>
            </w:pPr>
            <w:r w:rsidRPr="007920A9">
              <w:rPr>
                <w:b/>
              </w:rPr>
              <w:t>Evaluation</w:t>
            </w:r>
          </w:p>
        </w:tc>
        <w:tc>
          <w:tcPr>
            <w:tcW w:w="4536" w:type="dxa"/>
            <w:shd w:val="clear" w:color="auto" w:fill="D9D9D9" w:themeFill="background1" w:themeFillShade="D9"/>
            <w:vAlign w:val="center"/>
          </w:tcPr>
          <w:p w14:paraId="7AF64E41" w14:textId="77777777" w:rsidR="00A50FAC" w:rsidRPr="007920A9" w:rsidRDefault="00A50FAC" w:rsidP="00026C12">
            <w:pPr>
              <w:spacing w:after="0"/>
              <w:jc w:val="both"/>
              <w:rPr>
                <w:b/>
              </w:rPr>
            </w:pPr>
            <w:r w:rsidRPr="007920A9">
              <w:rPr>
                <w:b/>
              </w:rPr>
              <w:t>Commentaires</w:t>
            </w:r>
          </w:p>
        </w:tc>
      </w:tr>
      <w:tr w:rsidR="00026C12" w:rsidRPr="007920A9" w14:paraId="7B448A4F" w14:textId="77777777" w:rsidTr="00A50FAC">
        <w:tc>
          <w:tcPr>
            <w:tcW w:w="1951" w:type="dxa"/>
            <w:vAlign w:val="center"/>
          </w:tcPr>
          <w:p w14:paraId="64682DD9" w14:textId="77777777" w:rsidR="00A50FAC" w:rsidRPr="007920A9" w:rsidRDefault="00A50FAC" w:rsidP="00C66790">
            <w:pPr>
              <w:spacing w:after="0"/>
              <w:rPr>
                <w:b/>
              </w:rPr>
            </w:pPr>
            <w:r w:rsidRPr="007920A9">
              <w:rPr>
                <w:b/>
              </w:rPr>
              <w:t>Règlement et pratique liées à la gestion des informations gouvernementales</w:t>
            </w:r>
          </w:p>
        </w:tc>
        <w:tc>
          <w:tcPr>
            <w:tcW w:w="1276" w:type="dxa"/>
            <w:vAlign w:val="center"/>
          </w:tcPr>
          <w:p w14:paraId="0BB3C696" w14:textId="77777777" w:rsidR="00A50FAC" w:rsidRPr="007920A9" w:rsidRDefault="00A50FAC" w:rsidP="00026C12">
            <w:pPr>
              <w:spacing w:after="0"/>
              <w:jc w:val="both"/>
            </w:pPr>
            <w:r w:rsidRPr="007920A9">
              <w:rPr>
                <w:b/>
                <w:bCs/>
              </w:rPr>
              <w:t>Élevée</w:t>
            </w:r>
          </w:p>
        </w:tc>
        <w:tc>
          <w:tcPr>
            <w:tcW w:w="1417" w:type="dxa"/>
            <w:shd w:val="clear" w:color="auto" w:fill="auto"/>
            <w:vAlign w:val="center"/>
          </w:tcPr>
          <w:p w14:paraId="0AD6196D" w14:textId="27A02327" w:rsidR="00A50FAC" w:rsidRPr="00C26C2C" w:rsidRDefault="00C26C2C" w:rsidP="00026C12">
            <w:pPr>
              <w:spacing w:after="0"/>
              <w:jc w:val="both"/>
              <w:rPr>
                <w:b/>
                <w:highlight w:val="lightGray"/>
              </w:rPr>
            </w:pPr>
            <w:r w:rsidRPr="00C26C2C">
              <w:rPr>
                <w:b/>
                <w:highlight w:val="yellow"/>
              </w:rPr>
              <w:t>JAUNE</w:t>
            </w:r>
          </w:p>
        </w:tc>
        <w:tc>
          <w:tcPr>
            <w:tcW w:w="4536" w:type="dxa"/>
            <w:vAlign w:val="center"/>
          </w:tcPr>
          <w:p w14:paraId="07958BE1" w14:textId="7C3E1CEB" w:rsidR="00A50FAC" w:rsidRDefault="00C26C2C" w:rsidP="00026C12">
            <w:pPr>
              <w:spacing w:after="0"/>
              <w:jc w:val="both"/>
            </w:pPr>
            <w:r>
              <w:t>Il existe plusieurs documents régissant différents aspects des informations gouvernementales, notamment les archives, mais rien de spécifique à l’Open Data, notamment sur la réutilisation des données, les licences, ou un référentiel de données commun.</w:t>
            </w:r>
          </w:p>
          <w:p w14:paraId="1CE27515" w14:textId="75233C30" w:rsidR="00C26C2C" w:rsidRDefault="00C26C2C" w:rsidP="00026C12">
            <w:pPr>
              <w:spacing w:after="0"/>
              <w:jc w:val="both"/>
            </w:pPr>
            <w:r>
              <w:t xml:space="preserve">Cependant une législation spécifique est en cours d’étude pour la réutilisation, un embryon de référentiels de données est </w:t>
            </w:r>
            <w:r w:rsidR="006B5D45">
              <w:t>développé</w:t>
            </w:r>
            <w:r>
              <w:t xml:space="preserve"> par l’INS et pourrait servir de point de départ, et l’ensemble des interlocuteurs est ouvert à l’adoption d’une licence ouverte</w:t>
            </w:r>
          </w:p>
          <w:p w14:paraId="529A0F29" w14:textId="67A89DC8" w:rsidR="0025552F" w:rsidRPr="007920A9" w:rsidRDefault="0025552F" w:rsidP="00026C12">
            <w:pPr>
              <w:spacing w:after="0"/>
              <w:jc w:val="both"/>
            </w:pPr>
            <w:r>
              <w:t>L’engagement 3 du plan PGO est dédié à la mise en place d’un inventaire.</w:t>
            </w:r>
          </w:p>
        </w:tc>
      </w:tr>
      <w:tr w:rsidR="00026C12" w:rsidRPr="007920A9" w14:paraId="12AB6997" w14:textId="77777777" w:rsidTr="00A50FAC">
        <w:tc>
          <w:tcPr>
            <w:tcW w:w="1951" w:type="dxa"/>
            <w:vAlign w:val="center"/>
          </w:tcPr>
          <w:p w14:paraId="0F7AE08E" w14:textId="77777777" w:rsidR="00A50FAC" w:rsidRPr="007920A9" w:rsidRDefault="00A50FAC" w:rsidP="00C66790">
            <w:pPr>
              <w:spacing w:after="0"/>
              <w:rPr>
                <w:b/>
              </w:rPr>
            </w:pPr>
            <w:r w:rsidRPr="007920A9">
              <w:rPr>
                <w:b/>
              </w:rPr>
              <w:t>Inventaire de données</w:t>
            </w:r>
          </w:p>
        </w:tc>
        <w:tc>
          <w:tcPr>
            <w:tcW w:w="1276" w:type="dxa"/>
            <w:vAlign w:val="center"/>
          </w:tcPr>
          <w:p w14:paraId="780551C4" w14:textId="77777777" w:rsidR="00A50FAC" w:rsidRPr="007920A9" w:rsidRDefault="00A50FAC" w:rsidP="00026C12">
            <w:pPr>
              <w:spacing w:after="0"/>
              <w:jc w:val="both"/>
            </w:pPr>
            <w:r w:rsidRPr="007920A9">
              <w:t>Moyenne</w:t>
            </w:r>
          </w:p>
        </w:tc>
        <w:tc>
          <w:tcPr>
            <w:tcW w:w="1417" w:type="dxa"/>
            <w:tcBorders>
              <w:bottom w:val="single" w:sz="4" w:space="0" w:color="auto"/>
            </w:tcBorders>
            <w:shd w:val="clear" w:color="auto" w:fill="auto"/>
            <w:vAlign w:val="center"/>
          </w:tcPr>
          <w:p w14:paraId="7F1ED684" w14:textId="35758C1C" w:rsidR="00A50FAC" w:rsidRPr="007920A9" w:rsidRDefault="00C26C2C" w:rsidP="00026C12">
            <w:pPr>
              <w:spacing w:after="0"/>
              <w:jc w:val="both"/>
              <w:rPr>
                <w:highlight w:val="yellow"/>
              </w:rPr>
            </w:pPr>
            <w:r w:rsidRPr="00C26C2C">
              <w:rPr>
                <w:b/>
                <w:highlight w:val="yellow"/>
              </w:rPr>
              <w:t>JAUNE</w:t>
            </w:r>
          </w:p>
        </w:tc>
        <w:tc>
          <w:tcPr>
            <w:tcW w:w="4536" w:type="dxa"/>
            <w:vAlign w:val="center"/>
          </w:tcPr>
          <w:p w14:paraId="5D189224" w14:textId="06448BEA" w:rsidR="00A50FAC" w:rsidRPr="007920A9" w:rsidRDefault="00A50FAC" w:rsidP="00026C12">
            <w:pPr>
              <w:pStyle w:val="En-tte"/>
              <w:tabs>
                <w:tab w:val="clear" w:pos="4513"/>
                <w:tab w:val="clear" w:pos="9026"/>
              </w:tabs>
              <w:spacing w:before="0" w:after="0"/>
              <w:jc w:val="both"/>
              <w:rPr>
                <w:sz w:val="22"/>
                <w:szCs w:val="22"/>
                <w:lang w:val="fr-FR"/>
              </w:rPr>
            </w:pPr>
            <w:r w:rsidRPr="007920A9">
              <w:rPr>
                <w:sz w:val="22"/>
                <w:szCs w:val="22"/>
                <w:lang w:val="fr-FR"/>
              </w:rPr>
              <w:t>Il n’y a pas d’inventaire de données central, ni de standard pour les métadonnées.</w:t>
            </w:r>
            <w:r w:rsidR="0025552F">
              <w:rPr>
                <w:sz w:val="22"/>
                <w:szCs w:val="22"/>
                <w:lang w:val="fr-FR"/>
              </w:rPr>
              <w:t xml:space="preserve"> Un premier inventaire de données géospatiale</w:t>
            </w:r>
            <w:r w:rsidR="00733310">
              <w:rPr>
                <w:sz w:val="22"/>
                <w:szCs w:val="22"/>
                <w:lang w:val="fr-FR"/>
              </w:rPr>
              <w:t>s</w:t>
            </w:r>
            <w:r w:rsidR="0025552F">
              <w:rPr>
                <w:sz w:val="22"/>
                <w:szCs w:val="22"/>
                <w:lang w:val="fr-FR"/>
              </w:rPr>
              <w:t xml:space="preserve"> a été effectué, mais devra être complété. Plusieurs portails de données </w:t>
            </w:r>
            <w:r w:rsidR="006B5D45">
              <w:rPr>
                <w:sz w:val="22"/>
                <w:szCs w:val="22"/>
                <w:lang w:val="fr-FR"/>
              </w:rPr>
              <w:t>existent</w:t>
            </w:r>
            <w:r w:rsidR="0025552F">
              <w:rPr>
                <w:sz w:val="22"/>
                <w:szCs w:val="22"/>
                <w:lang w:val="fr-FR"/>
              </w:rPr>
              <w:t xml:space="preserve"> et certains commencent à être fédérés sur le portail national</w:t>
            </w:r>
          </w:p>
        </w:tc>
      </w:tr>
      <w:tr w:rsidR="00026C12" w:rsidRPr="007920A9" w14:paraId="785EFDC5" w14:textId="77777777" w:rsidTr="00A50FAC">
        <w:tc>
          <w:tcPr>
            <w:tcW w:w="1951" w:type="dxa"/>
            <w:vAlign w:val="center"/>
          </w:tcPr>
          <w:p w14:paraId="54FE78A8" w14:textId="77777777" w:rsidR="00A50FAC" w:rsidRPr="007920A9" w:rsidRDefault="00A50FAC" w:rsidP="00C66790">
            <w:pPr>
              <w:spacing w:after="0"/>
              <w:rPr>
                <w:b/>
              </w:rPr>
            </w:pPr>
            <w:r w:rsidRPr="007920A9">
              <w:rPr>
                <w:b/>
              </w:rPr>
              <w:t>Localisation des données gouvernementales</w:t>
            </w:r>
          </w:p>
        </w:tc>
        <w:tc>
          <w:tcPr>
            <w:tcW w:w="1276" w:type="dxa"/>
            <w:vAlign w:val="center"/>
          </w:tcPr>
          <w:p w14:paraId="4167A4B7" w14:textId="77777777" w:rsidR="00A50FAC" w:rsidRPr="007920A9" w:rsidRDefault="00A50FAC" w:rsidP="00026C12">
            <w:pPr>
              <w:spacing w:after="0"/>
              <w:jc w:val="both"/>
            </w:pPr>
            <w:r w:rsidRPr="007920A9">
              <w:rPr>
                <w:b/>
                <w:bCs/>
              </w:rPr>
              <w:t>Élevée</w:t>
            </w:r>
          </w:p>
        </w:tc>
        <w:tc>
          <w:tcPr>
            <w:tcW w:w="1417" w:type="dxa"/>
            <w:tcBorders>
              <w:bottom w:val="single" w:sz="4" w:space="0" w:color="auto"/>
            </w:tcBorders>
            <w:shd w:val="clear" w:color="auto" w:fill="auto"/>
            <w:vAlign w:val="center"/>
          </w:tcPr>
          <w:p w14:paraId="4026D899" w14:textId="1697857F" w:rsidR="00A50FAC" w:rsidRPr="007920A9" w:rsidRDefault="00C26C2C" w:rsidP="00026C12">
            <w:pPr>
              <w:spacing w:after="0"/>
              <w:jc w:val="both"/>
              <w:rPr>
                <w:b/>
                <w:highlight w:val="yellow"/>
              </w:rPr>
            </w:pPr>
            <w:r w:rsidRPr="00C26C2C">
              <w:rPr>
                <w:b/>
                <w:highlight w:val="yellow"/>
              </w:rPr>
              <w:t>JAUNE</w:t>
            </w:r>
            <w:r w:rsidRPr="00C26C2C">
              <w:rPr>
                <w:b/>
              </w:rPr>
              <w:t>/</w:t>
            </w:r>
            <w:r>
              <w:rPr>
                <w:b/>
                <w:highlight w:val="yellow"/>
              </w:rPr>
              <w:t xml:space="preserve"> </w:t>
            </w:r>
            <w:r>
              <w:rPr>
                <w:b/>
                <w:highlight w:val="red"/>
              </w:rPr>
              <w:t>ROUGE</w:t>
            </w:r>
          </w:p>
        </w:tc>
        <w:tc>
          <w:tcPr>
            <w:tcW w:w="4536" w:type="dxa"/>
            <w:vAlign w:val="center"/>
          </w:tcPr>
          <w:p w14:paraId="2D503070" w14:textId="6DE656F1" w:rsidR="00A50FAC" w:rsidRPr="007920A9" w:rsidRDefault="0025552F" w:rsidP="00026C12">
            <w:pPr>
              <w:spacing w:after="0"/>
              <w:jc w:val="both"/>
            </w:pPr>
            <w:r>
              <w:t xml:space="preserve">Les données sont </w:t>
            </w:r>
            <w:r w:rsidR="006B5D45">
              <w:t>réparties</w:t>
            </w:r>
            <w:r>
              <w:t xml:space="preserve"> sur plusieurs data center entre des data </w:t>
            </w:r>
            <w:r w:rsidR="002B413B">
              <w:t>centers spécifiques</w:t>
            </w:r>
            <w:r>
              <w:t xml:space="preserve"> aux ministères et des data center nationaux (CNI, ATI). Il n’y a pas de politique globale de protection et d’archivage des données</w:t>
            </w:r>
          </w:p>
        </w:tc>
      </w:tr>
      <w:tr w:rsidR="00026C12" w:rsidRPr="007920A9" w14:paraId="18A994FF" w14:textId="77777777" w:rsidTr="00A50FAC">
        <w:tc>
          <w:tcPr>
            <w:tcW w:w="1951" w:type="dxa"/>
            <w:tcBorders>
              <w:bottom w:val="single" w:sz="4" w:space="0" w:color="auto"/>
            </w:tcBorders>
            <w:vAlign w:val="center"/>
          </w:tcPr>
          <w:p w14:paraId="6F3A5A89" w14:textId="77777777" w:rsidR="00A50FAC" w:rsidRPr="007920A9" w:rsidRDefault="00A50FAC" w:rsidP="00C66790">
            <w:pPr>
              <w:spacing w:after="0"/>
              <w:rPr>
                <w:b/>
              </w:rPr>
            </w:pPr>
            <w:r w:rsidRPr="007920A9">
              <w:rPr>
                <w:b/>
              </w:rPr>
              <w:t>Demande interne</w:t>
            </w:r>
          </w:p>
        </w:tc>
        <w:tc>
          <w:tcPr>
            <w:tcW w:w="1276" w:type="dxa"/>
            <w:tcBorders>
              <w:bottom w:val="single" w:sz="4" w:space="0" w:color="auto"/>
            </w:tcBorders>
            <w:vAlign w:val="center"/>
          </w:tcPr>
          <w:p w14:paraId="2CB0303C" w14:textId="77777777" w:rsidR="00A50FAC" w:rsidRPr="007920A9" w:rsidRDefault="00A50FAC" w:rsidP="00026C12">
            <w:pPr>
              <w:spacing w:after="0"/>
              <w:jc w:val="both"/>
            </w:pPr>
            <w:r w:rsidRPr="007920A9">
              <w:rPr>
                <w:b/>
                <w:bCs/>
              </w:rPr>
              <w:t>Élevée</w:t>
            </w:r>
          </w:p>
        </w:tc>
        <w:tc>
          <w:tcPr>
            <w:tcW w:w="1417" w:type="dxa"/>
            <w:tcBorders>
              <w:bottom w:val="single" w:sz="4" w:space="0" w:color="auto"/>
            </w:tcBorders>
            <w:shd w:val="clear" w:color="auto" w:fill="auto"/>
            <w:vAlign w:val="center"/>
          </w:tcPr>
          <w:p w14:paraId="7E372803" w14:textId="1748CAA3" w:rsidR="00A50FAC" w:rsidRPr="007920A9" w:rsidRDefault="00C26C2C" w:rsidP="00026C12">
            <w:pPr>
              <w:spacing w:after="0"/>
              <w:jc w:val="both"/>
              <w:rPr>
                <w:highlight w:val="yellow"/>
              </w:rPr>
            </w:pPr>
            <w:r w:rsidRPr="00C26C2C">
              <w:rPr>
                <w:b/>
                <w:highlight w:val="yellow"/>
              </w:rPr>
              <w:t>JAUNE</w:t>
            </w:r>
          </w:p>
        </w:tc>
        <w:tc>
          <w:tcPr>
            <w:tcW w:w="4536" w:type="dxa"/>
            <w:vAlign w:val="center"/>
          </w:tcPr>
          <w:p w14:paraId="25070077" w14:textId="0EB84FDA" w:rsidR="00A50FAC" w:rsidRPr="007920A9" w:rsidRDefault="0025552F" w:rsidP="00026C12">
            <w:pPr>
              <w:spacing w:after="0"/>
              <w:jc w:val="both"/>
            </w:pPr>
            <w:r w:rsidRPr="0025552F">
              <w:t>La demande interne est principalement pour l’instant liée à l’INS pour la collecte entre les ministères et les différents observatoires pour la demande entre les structures d’une même tutelle. Toutefois, les CAI, la GBO et le future SIG sont susceptible</w:t>
            </w:r>
            <w:r w:rsidR="00733310">
              <w:t>s</w:t>
            </w:r>
            <w:r w:rsidRPr="0025552F">
              <w:t xml:space="preserve"> dans un avenir proche d’être de gros demandeurs de données internes</w:t>
            </w:r>
          </w:p>
        </w:tc>
      </w:tr>
      <w:tr w:rsidR="00026C12" w:rsidRPr="007920A9" w14:paraId="743D4D39" w14:textId="77777777" w:rsidTr="00A50FAC">
        <w:tc>
          <w:tcPr>
            <w:tcW w:w="1951" w:type="dxa"/>
            <w:tcBorders>
              <w:bottom w:val="single" w:sz="4" w:space="0" w:color="auto"/>
            </w:tcBorders>
            <w:vAlign w:val="center"/>
          </w:tcPr>
          <w:p w14:paraId="3CC5C438" w14:textId="77777777" w:rsidR="00A50FAC" w:rsidRPr="007920A9" w:rsidRDefault="00A50FAC" w:rsidP="00C66790">
            <w:pPr>
              <w:spacing w:after="0"/>
              <w:rPr>
                <w:b/>
              </w:rPr>
            </w:pPr>
            <w:r w:rsidRPr="007920A9">
              <w:rPr>
                <w:b/>
              </w:rPr>
              <w:t>Publication actuelle de données</w:t>
            </w:r>
          </w:p>
        </w:tc>
        <w:tc>
          <w:tcPr>
            <w:tcW w:w="1276" w:type="dxa"/>
            <w:tcBorders>
              <w:bottom w:val="single" w:sz="4" w:space="0" w:color="auto"/>
            </w:tcBorders>
            <w:vAlign w:val="center"/>
          </w:tcPr>
          <w:p w14:paraId="0A055A0F" w14:textId="77777777" w:rsidR="00A50FAC" w:rsidRPr="007920A9" w:rsidRDefault="00A50FAC" w:rsidP="00026C12">
            <w:pPr>
              <w:spacing w:after="0"/>
              <w:jc w:val="both"/>
            </w:pPr>
            <w:r w:rsidRPr="007920A9">
              <w:rPr>
                <w:b/>
                <w:bCs/>
              </w:rPr>
              <w:t>Élevée</w:t>
            </w:r>
          </w:p>
        </w:tc>
        <w:tc>
          <w:tcPr>
            <w:tcW w:w="1417" w:type="dxa"/>
            <w:shd w:val="clear" w:color="auto" w:fill="auto"/>
            <w:vAlign w:val="center"/>
          </w:tcPr>
          <w:p w14:paraId="0A5CB065" w14:textId="2F42489A" w:rsidR="00A50FAC" w:rsidRPr="007920A9" w:rsidRDefault="00C26C2C" w:rsidP="00026C12">
            <w:pPr>
              <w:spacing w:after="0"/>
              <w:jc w:val="both"/>
              <w:rPr>
                <w:highlight w:val="yellow"/>
              </w:rPr>
            </w:pPr>
            <w:r w:rsidRPr="00C26C2C">
              <w:rPr>
                <w:b/>
                <w:highlight w:val="yellow"/>
              </w:rPr>
              <w:t>JAUNE</w:t>
            </w:r>
          </w:p>
        </w:tc>
        <w:tc>
          <w:tcPr>
            <w:tcW w:w="4536" w:type="dxa"/>
            <w:vAlign w:val="center"/>
          </w:tcPr>
          <w:p w14:paraId="70DF0F86" w14:textId="77777777" w:rsidR="00A50FAC" w:rsidRDefault="00A50FAC" w:rsidP="00026C12">
            <w:pPr>
              <w:spacing w:after="0"/>
              <w:jc w:val="both"/>
            </w:pPr>
            <w:r w:rsidRPr="007920A9">
              <w:t xml:space="preserve">De nombreux jeux de données sont déjà publiés au travers des initiatives internationales de transparence auxquelles participe la </w:t>
            </w:r>
            <w:r w:rsidR="00A45C1E" w:rsidRPr="007920A9">
              <w:t>Tunisie, ainsi qu’au travers d’initiatives spécifiques de quelques ministères</w:t>
            </w:r>
            <w:r w:rsidRPr="007920A9">
              <w:t xml:space="preserve">. </w:t>
            </w:r>
          </w:p>
          <w:p w14:paraId="20E7B5FC" w14:textId="2FA16702" w:rsidR="0025552F" w:rsidRPr="007920A9" w:rsidRDefault="0025552F" w:rsidP="00026C12">
            <w:pPr>
              <w:spacing w:after="0"/>
              <w:jc w:val="both"/>
            </w:pPr>
            <w:r>
              <w:t>Toutefois, les données sur les portails de données ne sont pas forcément des jeux de données selon les critères de l’Open Data. Le principal obstacle n’est ni politique ni technique mais uniquement dû au manque de sensibilisation à l’Open Data et les opportunités qu’elle offre.</w:t>
            </w:r>
          </w:p>
        </w:tc>
      </w:tr>
      <w:tr w:rsidR="00026C12" w:rsidRPr="007920A9" w14:paraId="03DFEB2E" w14:textId="77777777" w:rsidTr="00A50FAC">
        <w:tc>
          <w:tcPr>
            <w:tcW w:w="1951" w:type="dxa"/>
            <w:tcBorders>
              <w:bottom w:val="single" w:sz="4" w:space="0" w:color="auto"/>
            </w:tcBorders>
            <w:vAlign w:val="center"/>
          </w:tcPr>
          <w:p w14:paraId="6EC88B40" w14:textId="77777777" w:rsidR="00A50FAC" w:rsidRPr="007920A9" w:rsidRDefault="00A50FAC" w:rsidP="00C66790">
            <w:pPr>
              <w:spacing w:after="0"/>
              <w:rPr>
                <w:rFonts w:cs="Times New Roman"/>
                <w:b/>
              </w:rPr>
            </w:pPr>
            <w:r w:rsidRPr="007920A9">
              <w:rPr>
                <w:rFonts w:cs="Times New Roman"/>
                <w:b/>
              </w:rPr>
              <w:t>Capacités relatives à l’anonymisation des données</w:t>
            </w:r>
          </w:p>
        </w:tc>
        <w:tc>
          <w:tcPr>
            <w:tcW w:w="1276" w:type="dxa"/>
            <w:tcBorders>
              <w:bottom w:val="single" w:sz="4" w:space="0" w:color="auto"/>
            </w:tcBorders>
            <w:vAlign w:val="center"/>
          </w:tcPr>
          <w:p w14:paraId="1E9306B8" w14:textId="77777777" w:rsidR="00A50FAC" w:rsidRPr="007920A9" w:rsidRDefault="00A50FAC" w:rsidP="00026C12">
            <w:pPr>
              <w:spacing w:after="0"/>
              <w:jc w:val="both"/>
              <w:rPr>
                <w:b/>
                <w:bCs/>
              </w:rPr>
            </w:pPr>
            <w:r w:rsidRPr="007920A9">
              <w:rPr>
                <w:b/>
                <w:bCs/>
              </w:rPr>
              <w:t>Élevée</w:t>
            </w:r>
          </w:p>
        </w:tc>
        <w:tc>
          <w:tcPr>
            <w:tcW w:w="1417" w:type="dxa"/>
            <w:shd w:val="clear" w:color="auto" w:fill="auto"/>
            <w:vAlign w:val="center"/>
          </w:tcPr>
          <w:p w14:paraId="09758D0D" w14:textId="50D2793B" w:rsidR="00A50FAC" w:rsidRPr="007920A9" w:rsidRDefault="00C26C2C" w:rsidP="00026C12">
            <w:pPr>
              <w:spacing w:after="0"/>
              <w:jc w:val="both"/>
              <w:rPr>
                <w:b/>
                <w:bCs/>
                <w:highlight w:val="lightGray"/>
              </w:rPr>
            </w:pPr>
            <w:r>
              <w:rPr>
                <w:b/>
                <w:bCs/>
                <w:highlight w:val="yellow"/>
              </w:rPr>
              <w:t xml:space="preserve"> </w:t>
            </w:r>
            <w:r w:rsidRPr="00C26C2C">
              <w:rPr>
                <w:b/>
                <w:highlight w:val="yellow"/>
              </w:rPr>
              <w:t>JAUNE</w:t>
            </w:r>
            <w:r w:rsidR="00A45C1E" w:rsidRPr="007920A9">
              <w:rPr>
                <w:b/>
                <w:bCs/>
                <w:highlight w:val="yellow"/>
              </w:rPr>
              <w:t xml:space="preserve">                            </w:t>
            </w:r>
          </w:p>
        </w:tc>
        <w:tc>
          <w:tcPr>
            <w:tcW w:w="4536" w:type="dxa"/>
            <w:vAlign w:val="center"/>
          </w:tcPr>
          <w:p w14:paraId="7DB0D4C8" w14:textId="50353F14" w:rsidR="00A50FAC" w:rsidRPr="007920A9" w:rsidRDefault="0025552F" w:rsidP="00026C12">
            <w:pPr>
              <w:spacing w:after="0"/>
              <w:jc w:val="both"/>
            </w:pPr>
            <w:r w:rsidRPr="0025552F">
              <w:t xml:space="preserve">L’INS est en train de monter une unité d’anonymisation et possède pour l’instant </w:t>
            </w:r>
            <w:r w:rsidR="002B413B" w:rsidRPr="0025552F">
              <w:t>une personne</w:t>
            </w:r>
            <w:r w:rsidRPr="0025552F">
              <w:t xml:space="preserve"> avec le profil et les compétences</w:t>
            </w:r>
            <w:r w:rsidR="00733310">
              <w:t xml:space="preserve"> requis</w:t>
            </w:r>
            <w:r w:rsidRPr="0025552F">
              <w:t xml:space="preserve">. Aucune autre ressource n’a été identifiée en dehors de l’INS. L’INPDP souligne le manque de sensibilisation et de compréhension </w:t>
            </w:r>
            <w:r w:rsidR="002B413B" w:rsidRPr="0025552F">
              <w:t>du champ</w:t>
            </w:r>
            <w:r w:rsidRPr="0025552F">
              <w:t xml:space="preserve"> d’action de la loi sur la protection des données personnelles au sein d</w:t>
            </w:r>
            <w:r w:rsidR="002C10C1">
              <w:t>e</w:t>
            </w:r>
            <w:r w:rsidRPr="0025552F">
              <w:t xml:space="preserve"> l’administration</w:t>
            </w:r>
          </w:p>
        </w:tc>
      </w:tr>
      <w:tr w:rsidR="00026C12" w:rsidRPr="007920A9" w14:paraId="09B69843" w14:textId="77777777" w:rsidTr="00A50FAC">
        <w:tc>
          <w:tcPr>
            <w:tcW w:w="1951" w:type="dxa"/>
            <w:tcBorders>
              <w:bottom w:val="single" w:sz="4" w:space="0" w:color="auto"/>
            </w:tcBorders>
            <w:vAlign w:val="center"/>
          </w:tcPr>
          <w:p w14:paraId="404DF431" w14:textId="5AA1614E" w:rsidR="00A50FAC" w:rsidRPr="007920A9" w:rsidRDefault="00A50FAC" w:rsidP="00C66790">
            <w:pPr>
              <w:spacing w:after="0"/>
              <w:rPr>
                <w:rFonts w:cs="Times New Roman"/>
                <w:b/>
              </w:rPr>
            </w:pPr>
            <w:r w:rsidRPr="007920A9">
              <w:rPr>
                <w:rFonts w:cs="Times New Roman"/>
                <w:b/>
              </w:rPr>
              <w:t>Leadership par un</w:t>
            </w:r>
            <w:r w:rsidR="000E2B23">
              <w:rPr>
                <w:rFonts w:cs="Times New Roman"/>
                <w:b/>
              </w:rPr>
              <w:t xml:space="preserve"> organisme</w:t>
            </w:r>
            <w:r w:rsidRPr="007920A9">
              <w:rPr>
                <w:rFonts w:cs="Times New Roman"/>
                <w:b/>
              </w:rPr>
              <w:t xml:space="preserve"> </w:t>
            </w:r>
            <w:r w:rsidR="000E2B23">
              <w:rPr>
                <w:rFonts w:cs="Times New Roman"/>
                <w:b/>
              </w:rPr>
              <w:t>public</w:t>
            </w:r>
            <w:r w:rsidRPr="007920A9">
              <w:rPr>
                <w:rFonts w:cs="Times New Roman"/>
                <w:b/>
              </w:rPr>
              <w:t xml:space="preserve"> spécialisé dans la gestion de données</w:t>
            </w:r>
          </w:p>
        </w:tc>
        <w:tc>
          <w:tcPr>
            <w:tcW w:w="1276" w:type="dxa"/>
            <w:tcBorders>
              <w:bottom w:val="single" w:sz="4" w:space="0" w:color="auto"/>
            </w:tcBorders>
            <w:vAlign w:val="center"/>
          </w:tcPr>
          <w:p w14:paraId="099DC349" w14:textId="77777777" w:rsidR="00A50FAC" w:rsidRPr="007920A9" w:rsidRDefault="00A50FAC" w:rsidP="00026C12">
            <w:pPr>
              <w:spacing w:after="0"/>
              <w:jc w:val="both"/>
              <w:rPr>
                <w:b/>
                <w:bCs/>
              </w:rPr>
            </w:pPr>
            <w:r w:rsidRPr="007920A9">
              <w:rPr>
                <w:b/>
                <w:bCs/>
              </w:rPr>
              <w:t>Moyenne</w:t>
            </w:r>
          </w:p>
        </w:tc>
        <w:tc>
          <w:tcPr>
            <w:tcW w:w="1417" w:type="dxa"/>
            <w:shd w:val="clear" w:color="auto" w:fill="auto"/>
            <w:vAlign w:val="center"/>
          </w:tcPr>
          <w:p w14:paraId="045985F0" w14:textId="570B20FE" w:rsidR="00A50FAC" w:rsidRPr="007920A9" w:rsidRDefault="00C26C2C" w:rsidP="00026C12">
            <w:pPr>
              <w:spacing w:after="0"/>
              <w:jc w:val="both"/>
              <w:rPr>
                <w:b/>
                <w:bCs/>
                <w:highlight w:val="lightGray"/>
              </w:rPr>
            </w:pPr>
            <w:r w:rsidRPr="00C26C2C">
              <w:rPr>
                <w:b/>
                <w:highlight w:val="yellow"/>
              </w:rPr>
              <w:t>JAUNE</w:t>
            </w:r>
          </w:p>
        </w:tc>
        <w:tc>
          <w:tcPr>
            <w:tcW w:w="4536" w:type="dxa"/>
            <w:vAlign w:val="center"/>
          </w:tcPr>
          <w:p w14:paraId="734DC61F" w14:textId="2DD80434" w:rsidR="00A50FAC" w:rsidRPr="007920A9" w:rsidRDefault="00C2085B" w:rsidP="00026C12">
            <w:pPr>
              <w:spacing w:after="0"/>
              <w:jc w:val="both"/>
            </w:pPr>
            <w:r w:rsidRPr="00C2085B">
              <w:t xml:space="preserve">Plusieurs </w:t>
            </w:r>
            <w:r w:rsidR="000E2B23">
              <w:t>organismes publics</w:t>
            </w:r>
            <w:r w:rsidR="000E2B23" w:rsidRPr="00C2085B">
              <w:t xml:space="preserve"> </w:t>
            </w:r>
            <w:r w:rsidRPr="00C2085B">
              <w:t>et ministères ont clairement des capacités de gestion de données, notamment l’INS et les différents observatoires ainsi que les ministères engagés dans la mise ne place de portail de données. Toutefois le manque de sensibilisation à l’Open Data est un obstacle pour toutes ces agences</w:t>
            </w:r>
            <w:r w:rsidR="00A45C1E" w:rsidRPr="00C2085B">
              <w:t xml:space="preserve"> </w:t>
            </w:r>
          </w:p>
        </w:tc>
      </w:tr>
      <w:tr w:rsidR="00026C12" w:rsidRPr="007920A9" w14:paraId="74E16BA8" w14:textId="77777777" w:rsidTr="00A50FAC">
        <w:tc>
          <w:tcPr>
            <w:tcW w:w="1951" w:type="dxa"/>
            <w:shd w:val="clear" w:color="auto" w:fill="auto"/>
            <w:vAlign w:val="center"/>
          </w:tcPr>
          <w:p w14:paraId="3CFC05B3" w14:textId="77777777" w:rsidR="00A50FAC" w:rsidRPr="007920A9" w:rsidRDefault="00A50FAC" w:rsidP="00026C12">
            <w:pPr>
              <w:spacing w:after="0"/>
              <w:jc w:val="both"/>
              <w:rPr>
                <w:b/>
              </w:rPr>
            </w:pPr>
            <w:r w:rsidRPr="007920A9">
              <w:rPr>
                <w:b/>
              </w:rPr>
              <w:t>Résultat Global</w:t>
            </w:r>
          </w:p>
        </w:tc>
        <w:tc>
          <w:tcPr>
            <w:tcW w:w="1276" w:type="dxa"/>
            <w:shd w:val="clear" w:color="auto" w:fill="auto"/>
            <w:vAlign w:val="center"/>
          </w:tcPr>
          <w:p w14:paraId="2B73892F" w14:textId="77777777" w:rsidR="00A50FAC" w:rsidRPr="007920A9" w:rsidRDefault="00A50FAC" w:rsidP="00026C12">
            <w:pPr>
              <w:spacing w:after="0"/>
              <w:jc w:val="both"/>
              <w:rPr>
                <w:b/>
              </w:rPr>
            </w:pPr>
            <w:r w:rsidRPr="007920A9">
              <w:rPr>
                <w:b/>
                <w:bCs/>
              </w:rPr>
              <w:t>Élevée</w:t>
            </w:r>
          </w:p>
        </w:tc>
        <w:tc>
          <w:tcPr>
            <w:tcW w:w="1417" w:type="dxa"/>
            <w:shd w:val="clear" w:color="auto" w:fill="auto"/>
            <w:vAlign w:val="center"/>
          </w:tcPr>
          <w:p w14:paraId="0A628BCC" w14:textId="09539850" w:rsidR="00A50FAC" w:rsidRPr="007920A9" w:rsidRDefault="00C26C2C" w:rsidP="00026C12">
            <w:pPr>
              <w:spacing w:after="0"/>
              <w:jc w:val="both"/>
              <w:rPr>
                <w:b/>
                <w:highlight w:val="yellow"/>
              </w:rPr>
            </w:pPr>
            <w:r w:rsidRPr="00C26C2C">
              <w:rPr>
                <w:b/>
                <w:highlight w:val="yellow"/>
              </w:rPr>
              <w:t>JAUNE</w:t>
            </w:r>
          </w:p>
        </w:tc>
        <w:tc>
          <w:tcPr>
            <w:tcW w:w="4536" w:type="dxa"/>
            <w:vAlign w:val="center"/>
          </w:tcPr>
          <w:p w14:paraId="01C16F8F" w14:textId="744008F4" w:rsidR="00A50FAC" w:rsidRPr="007920A9" w:rsidRDefault="00A50FAC" w:rsidP="00CA4AFE">
            <w:pPr>
              <w:spacing w:after="0"/>
              <w:jc w:val="both"/>
            </w:pPr>
            <w:r w:rsidRPr="007920A9">
              <w:t>Différent</w:t>
            </w:r>
            <w:r w:rsidR="000E2B23">
              <w:t xml:space="preserve"> </w:t>
            </w:r>
            <w:r w:rsidRPr="007920A9">
              <w:t xml:space="preserve">s </w:t>
            </w:r>
            <w:r w:rsidR="000E2B23">
              <w:t>organismes publics</w:t>
            </w:r>
            <w:r w:rsidR="000E2B23" w:rsidRPr="00C2085B">
              <w:t xml:space="preserve"> </w:t>
            </w:r>
            <w:r w:rsidRPr="007920A9">
              <w:t xml:space="preserve">et ministères publient </w:t>
            </w:r>
            <w:r w:rsidR="001D2C87" w:rsidRPr="007920A9">
              <w:t xml:space="preserve">déjà de nombreuses données </w:t>
            </w:r>
            <w:r w:rsidRPr="007920A9">
              <w:t>dans un format ouvert</w:t>
            </w:r>
            <w:r w:rsidR="001D2C87" w:rsidRPr="007920A9">
              <w:t xml:space="preserve"> et avec la plupart du temps une licence ouverte</w:t>
            </w:r>
            <w:r w:rsidRPr="007920A9">
              <w:t>.</w:t>
            </w:r>
            <w:r w:rsidR="00CA4AFE">
              <w:t xml:space="preserve"> </w:t>
            </w:r>
            <w:r w:rsidR="001D2C87" w:rsidRPr="007920A9">
              <w:t xml:space="preserve">Cependant l’ensemble des initiatives demanderait </w:t>
            </w:r>
            <w:r w:rsidR="00AA60B2" w:rsidRPr="007920A9">
              <w:t>à</w:t>
            </w:r>
            <w:r w:rsidR="001D2C87" w:rsidRPr="007920A9">
              <w:t xml:space="preserve"> être coordonn</w:t>
            </w:r>
            <w:r w:rsidR="00733310">
              <w:t>é</w:t>
            </w:r>
            <w:r w:rsidR="001D2C87" w:rsidRPr="007920A9">
              <w:t xml:space="preserve"> pour fournir une vision d’ensemble et facilit</w:t>
            </w:r>
            <w:r w:rsidR="00733310">
              <w:t>er</w:t>
            </w:r>
            <w:r w:rsidR="001D2C87" w:rsidRPr="007920A9">
              <w:t xml:space="preserve"> la recherche et l’accès aux données disponibles</w:t>
            </w:r>
            <w:r w:rsidR="00C2085B">
              <w:t xml:space="preserve">. Le manque global de sensibilisation à l’Open Data est </w:t>
            </w:r>
            <w:r w:rsidR="002B413B">
              <w:t>un obstacle clair</w:t>
            </w:r>
            <w:r w:rsidR="00C2085B">
              <w:t xml:space="preserve"> qui semble plus problématique que la volonté politique ou les compétences techniques</w:t>
            </w:r>
          </w:p>
        </w:tc>
      </w:tr>
    </w:tbl>
    <w:p w14:paraId="6D4777DC" w14:textId="77777777" w:rsidR="008B3687" w:rsidRPr="007920A9" w:rsidRDefault="008B3687" w:rsidP="00026C12">
      <w:pPr>
        <w:pStyle w:val="Titre1"/>
        <w:jc w:val="both"/>
      </w:pPr>
      <w:bookmarkStart w:id="22" w:name="_Toc459307839"/>
      <w:bookmarkStart w:id="23" w:name="_Toc496544780"/>
      <w:r w:rsidRPr="007920A9">
        <w:t>Demande concernant l’ouverture des données publiques</w:t>
      </w:r>
      <w:bookmarkEnd w:id="22"/>
      <w:bookmarkEnd w:id="23"/>
    </w:p>
    <w:p w14:paraId="69CE1826" w14:textId="1B2036D9" w:rsidR="00C261A9" w:rsidRPr="007920A9" w:rsidRDefault="008B3687" w:rsidP="00026C12">
      <w:pPr>
        <w:jc w:val="both"/>
        <w:rPr>
          <w:b/>
          <w:bCs/>
          <w:sz w:val="24"/>
        </w:rPr>
      </w:pPr>
      <w:r w:rsidRPr="007920A9">
        <w:rPr>
          <w:b/>
          <w:bCs/>
          <w:sz w:val="24"/>
        </w:rPr>
        <w:t>5.1 Quel est le niveau et la nature de la demande de données provenant de la société civile, des agences de développement, et des médias ? (Importance: Élevée)</w:t>
      </w:r>
      <w:r w:rsidR="00A50FAC" w:rsidRPr="007920A9">
        <w:rPr>
          <w:b/>
          <w:bCs/>
          <w:sz w:val="24"/>
        </w:rPr>
        <w:t xml:space="preserve"> </w:t>
      </w:r>
      <w:r w:rsidR="00C2085B" w:rsidRPr="00C2085B">
        <w:rPr>
          <w:b/>
          <w:bCs/>
          <w:sz w:val="24"/>
          <w:highlight w:val="yellow"/>
        </w:rPr>
        <w:t>JAUNE</w:t>
      </w:r>
      <w:r w:rsidR="00630CF6">
        <w:rPr>
          <w:b/>
          <w:bCs/>
          <w:sz w:val="24"/>
        </w:rPr>
        <w:t>/</w:t>
      </w:r>
      <w:r w:rsidR="00630CF6" w:rsidRPr="00630CF6">
        <w:rPr>
          <w:b/>
          <w:bCs/>
          <w:sz w:val="24"/>
          <w:highlight w:val="red"/>
        </w:rPr>
        <w:t>ROUGE</w:t>
      </w:r>
    </w:p>
    <w:p w14:paraId="5F12DAA3" w14:textId="2DD3672A" w:rsidR="007920A9" w:rsidRPr="007920A9" w:rsidRDefault="00A50FAC" w:rsidP="001C539E">
      <w:pPr>
        <w:pStyle w:val="Paragraphedeliste"/>
        <w:numPr>
          <w:ilvl w:val="0"/>
          <w:numId w:val="25"/>
        </w:numPr>
        <w:jc w:val="both"/>
        <w:rPr>
          <w:bCs/>
          <w:sz w:val="24"/>
        </w:rPr>
      </w:pPr>
      <w:r w:rsidRPr="007920A9">
        <w:rPr>
          <w:bCs/>
          <w:sz w:val="24"/>
        </w:rPr>
        <w:t xml:space="preserve">La société civile est </w:t>
      </w:r>
      <w:r w:rsidR="007920A9" w:rsidRPr="007920A9">
        <w:rPr>
          <w:bCs/>
          <w:sz w:val="24"/>
        </w:rPr>
        <w:t xml:space="preserve">très active dans le domaine de la transparence de gouvernance. Plusieurs </w:t>
      </w:r>
      <w:r w:rsidR="005A645F">
        <w:rPr>
          <w:bCs/>
          <w:sz w:val="24"/>
        </w:rPr>
        <w:t>o</w:t>
      </w:r>
      <w:r w:rsidR="007920A9" w:rsidRPr="007920A9">
        <w:rPr>
          <w:bCs/>
          <w:sz w:val="24"/>
        </w:rPr>
        <w:t>rgani</w:t>
      </w:r>
      <w:r w:rsidR="005A645F">
        <w:rPr>
          <w:bCs/>
          <w:sz w:val="24"/>
        </w:rPr>
        <w:t>s</w:t>
      </w:r>
      <w:r w:rsidR="007920A9" w:rsidRPr="007920A9">
        <w:rPr>
          <w:bCs/>
          <w:sz w:val="24"/>
        </w:rPr>
        <w:t xml:space="preserve">ations comme </w:t>
      </w:r>
      <w:r w:rsidR="005A645F">
        <w:rPr>
          <w:bCs/>
          <w:sz w:val="24"/>
        </w:rPr>
        <w:t>Article 19</w:t>
      </w:r>
      <w:r w:rsidR="005A645F">
        <w:rPr>
          <w:rStyle w:val="Appelnotedebasdep"/>
          <w:bCs/>
          <w:sz w:val="24"/>
        </w:rPr>
        <w:footnoteReference w:id="63"/>
      </w:r>
      <w:r w:rsidR="005A645F">
        <w:rPr>
          <w:bCs/>
          <w:sz w:val="24"/>
        </w:rPr>
        <w:t xml:space="preserve">, </w:t>
      </w:r>
      <w:r w:rsidR="007920A9" w:rsidRPr="007920A9">
        <w:rPr>
          <w:bCs/>
          <w:sz w:val="24"/>
        </w:rPr>
        <w:t>Al Bawsala</w:t>
      </w:r>
      <w:r w:rsidR="007920A9" w:rsidRPr="007920A9">
        <w:rPr>
          <w:rStyle w:val="Appelnotedebasdep"/>
          <w:bCs/>
          <w:sz w:val="24"/>
        </w:rPr>
        <w:footnoteReference w:id="64"/>
      </w:r>
      <w:r w:rsidR="007920A9" w:rsidRPr="007920A9">
        <w:rPr>
          <w:bCs/>
          <w:sz w:val="24"/>
        </w:rPr>
        <w:t>, IWatch-Tunisie</w:t>
      </w:r>
      <w:r w:rsidR="007920A9" w:rsidRPr="007920A9">
        <w:rPr>
          <w:rStyle w:val="Appelnotedebasdep"/>
          <w:bCs/>
          <w:sz w:val="24"/>
        </w:rPr>
        <w:footnoteReference w:id="65"/>
      </w:r>
      <w:r w:rsidR="007920A9" w:rsidRPr="007920A9">
        <w:rPr>
          <w:bCs/>
          <w:sz w:val="24"/>
        </w:rPr>
        <w:t>, ou l’association tunisienne des contrôleurs public (ATCP)</w:t>
      </w:r>
      <w:r w:rsidR="007920A9" w:rsidRPr="007920A9">
        <w:rPr>
          <w:rStyle w:val="Appelnotedebasdep"/>
          <w:bCs/>
          <w:sz w:val="24"/>
        </w:rPr>
        <w:footnoteReference w:id="66"/>
      </w:r>
      <w:r w:rsidR="007920A9" w:rsidRPr="007920A9">
        <w:rPr>
          <w:bCs/>
          <w:sz w:val="24"/>
        </w:rPr>
        <w:t>, demande</w:t>
      </w:r>
      <w:r w:rsidR="005A645F">
        <w:rPr>
          <w:bCs/>
          <w:sz w:val="24"/>
        </w:rPr>
        <w:t>nt</w:t>
      </w:r>
      <w:r w:rsidR="007920A9" w:rsidRPr="007920A9">
        <w:rPr>
          <w:bCs/>
          <w:sz w:val="24"/>
        </w:rPr>
        <w:t xml:space="preserve"> et exploite</w:t>
      </w:r>
      <w:r w:rsidR="005A645F">
        <w:rPr>
          <w:bCs/>
          <w:sz w:val="24"/>
        </w:rPr>
        <w:t>nt</w:t>
      </w:r>
      <w:r w:rsidR="007920A9" w:rsidRPr="007920A9">
        <w:rPr>
          <w:bCs/>
          <w:sz w:val="24"/>
        </w:rPr>
        <w:t xml:space="preserve"> des données pour la transparence (budget, </w:t>
      </w:r>
      <w:r w:rsidR="00DF65CF" w:rsidRPr="007920A9">
        <w:rPr>
          <w:bCs/>
          <w:sz w:val="24"/>
        </w:rPr>
        <w:t>élection</w:t>
      </w:r>
      <w:r w:rsidR="007920A9" w:rsidRPr="007920A9">
        <w:rPr>
          <w:bCs/>
          <w:sz w:val="24"/>
        </w:rPr>
        <w:t>, etc.)</w:t>
      </w:r>
      <w:r w:rsidR="00C2085B">
        <w:rPr>
          <w:bCs/>
          <w:sz w:val="24"/>
        </w:rPr>
        <w:t xml:space="preserve"> ainsi que pour le monitoring des investissements publiques (</w:t>
      </w:r>
      <w:r w:rsidR="002B413B">
        <w:rPr>
          <w:bCs/>
          <w:sz w:val="24"/>
        </w:rPr>
        <w:t>cf.</w:t>
      </w:r>
      <w:r w:rsidR="00C2085B">
        <w:rPr>
          <w:bCs/>
          <w:sz w:val="24"/>
        </w:rPr>
        <w:t xml:space="preserve"> la plateforme Cabrane</w:t>
      </w:r>
      <w:r w:rsidR="00C2085B">
        <w:rPr>
          <w:rStyle w:val="Appelnotedebasdep"/>
          <w:bCs/>
          <w:sz w:val="24"/>
        </w:rPr>
        <w:footnoteReference w:id="67"/>
      </w:r>
      <w:r w:rsidR="00C2085B">
        <w:rPr>
          <w:bCs/>
          <w:sz w:val="24"/>
        </w:rPr>
        <w:t>)</w:t>
      </w:r>
    </w:p>
    <w:p w14:paraId="2853CBE3" w14:textId="3297DB40" w:rsidR="005761D2" w:rsidRDefault="007920A9" w:rsidP="001C539E">
      <w:pPr>
        <w:pStyle w:val="Paragraphedeliste"/>
        <w:numPr>
          <w:ilvl w:val="0"/>
          <w:numId w:val="25"/>
        </w:numPr>
        <w:jc w:val="both"/>
        <w:rPr>
          <w:bCs/>
          <w:sz w:val="24"/>
        </w:rPr>
      </w:pPr>
      <w:r w:rsidRPr="007920A9">
        <w:rPr>
          <w:bCs/>
          <w:sz w:val="24"/>
        </w:rPr>
        <w:t xml:space="preserve">Plusieurs organisations, </w:t>
      </w:r>
      <w:r w:rsidR="00DF65CF" w:rsidRPr="007920A9">
        <w:rPr>
          <w:bCs/>
          <w:sz w:val="24"/>
        </w:rPr>
        <w:t>notamment</w:t>
      </w:r>
      <w:r w:rsidRPr="007920A9">
        <w:rPr>
          <w:bCs/>
          <w:sz w:val="24"/>
        </w:rPr>
        <w:t xml:space="preserve"> Clibre</w:t>
      </w:r>
      <w:r w:rsidRPr="007920A9">
        <w:rPr>
          <w:rStyle w:val="Appelnotedebasdep"/>
          <w:bCs/>
          <w:sz w:val="24"/>
        </w:rPr>
        <w:footnoteReference w:id="68"/>
      </w:r>
      <w:r w:rsidRPr="007920A9">
        <w:rPr>
          <w:bCs/>
          <w:sz w:val="24"/>
        </w:rPr>
        <w:t xml:space="preserve"> sont impliqué</w:t>
      </w:r>
      <w:r w:rsidR="005A645F">
        <w:rPr>
          <w:bCs/>
          <w:sz w:val="24"/>
        </w:rPr>
        <w:t>e</w:t>
      </w:r>
      <w:r w:rsidRPr="007920A9">
        <w:rPr>
          <w:bCs/>
          <w:sz w:val="24"/>
        </w:rPr>
        <w:t>s dans des initiatives mun</w:t>
      </w:r>
      <w:r w:rsidR="00DF65CF">
        <w:rPr>
          <w:bCs/>
          <w:sz w:val="24"/>
        </w:rPr>
        <w:t>i</w:t>
      </w:r>
      <w:r w:rsidRPr="007920A9">
        <w:rPr>
          <w:bCs/>
          <w:sz w:val="24"/>
        </w:rPr>
        <w:t>cipales comme celle de la ville de Sayada</w:t>
      </w:r>
      <w:r w:rsidR="005761D2">
        <w:rPr>
          <w:bCs/>
          <w:sz w:val="24"/>
        </w:rPr>
        <w:t>.</w:t>
      </w:r>
    </w:p>
    <w:p w14:paraId="62FB0619" w14:textId="31DA89C2" w:rsidR="00C2085B" w:rsidRDefault="00C2085B" w:rsidP="001C539E">
      <w:pPr>
        <w:pStyle w:val="Paragraphedeliste"/>
        <w:numPr>
          <w:ilvl w:val="0"/>
          <w:numId w:val="25"/>
        </w:numPr>
        <w:jc w:val="both"/>
        <w:rPr>
          <w:bCs/>
          <w:sz w:val="24"/>
        </w:rPr>
      </w:pPr>
      <w:r>
        <w:rPr>
          <w:bCs/>
          <w:sz w:val="24"/>
        </w:rPr>
        <w:t>Plusieurs organisation fournisse</w:t>
      </w:r>
      <w:r w:rsidR="005A645F">
        <w:rPr>
          <w:bCs/>
          <w:sz w:val="24"/>
        </w:rPr>
        <w:t>nt</w:t>
      </w:r>
      <w:r>
        <w:rPr>
          <w:bCs/>
          <w:sz w:val="24"/>
        </w:rPr>
        <w:t xml:space="preserve"> des supports au</w:t>
      </w:r>
      <w:r w:rsidR="005A645F">
        <w:rPr>
          <w:bCs/>
          <w:sz w:val="24"/>
        </w:rPr>
        <w:t>x</w:t>
      </w:r>
      <w:r>
        <w:rPr>
          <w:bCs/>
          <w:sz w:val="24"/>
        </w:rPr>
        <w:t xml:space="preserve"> citoyens pour exercer leur droit d’accès à l’information (par exemple IWatch-Tunisie</w:t>
      </w:r>
      <w:r>
        <w:rPr>
          <w:rStyle w:val="Appelnotedebasdep"/>
          <w:bCs/>
          <w:sz w:val="24"/>
        </w:rPr>
        <w:footnoteReference w:id="69"/>
      </w:r>
      <w:r>
        <w:rPr>
          <w:bCs/>
          <w:sz w:val="24"/>
        </w:rPr>
        <w:t>)</w:t>
      </w:r>
    </w:p>
    <w:p w14:paraId="228152EE" w14:textId="6B618DCD" w:rsidR="00A50FAC" w:rsidRPr="007920A9" w:rsidRDefault="005761D2" w:rsidP="001C539E">
      <w:pPr>
        <w:pStyle w:val="Paragraphedeliste"/>
        <w:numPr>
          <w:ilvl w:val="0"/>
          <w:numId w:val="25"/>
        </w:numPr>
        <w:jc w:val="both"/>
        <w:rPr>
          <w:bCs/>
          <w:sz w:val="24"/>
        </w:rPr>
      </w:pPr>
      <w:r>
        <w:rPr>
          <w:bCs/>
          <w:sz w:val="24"/>
        </w:rPr>
        <w:t xml:space="preserve">D’autres initiatives au niveau local, comme le ramassage des ordures </w:t>
      </w:r>
      <w:r w:rsidR="002B413B">
        <w:rPr>
          <w:bCs/>
          <w:sz w:val="24"/>
        </w:rPr>
        <w:t>à</w:t>
      </w:r>
      <w:r>
        <w:rPr>
          <w:bCs/>
          <w:sz w:val="24"/>
        </w:rPr>
        <w:t xml:space="preserve"> Grombalia</w:t>
      </w:r>
      <w:r>
        <w:rPr>
          <w:rStyle w:val="Appelnotedebasdep"/>
          <w:bCs/>
          <w:sz w:val="24"/>
        </w:rPr>
        <w:footnoteReference w:id="70"/>
      </w:r>
      <w:r w:rsidR="0059158A">
        <w:rPr>
          <w:bCs/>
          <w:sz w:val="24"/>
        </w:rPr>
        <w:t xml:space="preserve"> dé</w:t>
      </w:r>
      <w:r>
        <w:rPr>
          <w:bCs/>
          <w:sz w:val="24"/>
        </w:rPr>
        <w:t>montre</w:t>
      </w:r>
      <w:r w:rsidR="0059158A">
        <w:rPr>
          <w:bCs/>
          <w:sz w:val="24"/>
        </w:rPr>
        <w:t>nt</w:t>
      </w:r>
      <w:r>
        <w:rPr>
          <w:bCs/>
          <w:sz w:val="24"/>
        </w:rPr>
        <w:t xml:space="preserve"> le potentiel de </w:t>
      </w:r>
      <w:r w:rsidR="0059158A">
        <w:rPr>
          <w:bCs/>
          <w:sz w:val="24"/>
        </w:rPr>
        <w:t>l</w:t>
      </w:r>
      <w:r>
        <w:rPr>
          <w:bCs/>
          <w:sz w:val="24"/>
        </w:rPr>
        <w:t>‘</w:t>
      </w:r>
      <w:r w:rsidR="0059158A">
        <w:rPr>
          <w:bCs/>
          <w:sz w:val="24"/>
        </w:rPr>
        <w:t>association open dat</w:t>
      </w:r>
      <w:r>
        <w:rPr>
          <w:bCs/>
          <w:sz w:val="24"/>
        </w:rPr>
        <w:t>a/service mobile TIC pour améliorer le quotidien des citoyens</w:t>
      </w:r>
    </w:p>
    <w:p w14:paraId="55857AFF" w14:textId="0AFB230F" w:rsidR="007920A9" w:rsidRPr="007920A9" w:rsidRDefault="007920A9" w:rsidP="001C539E">
      <w:pPr>
        <w:pStyle w:val="Paragraphedeliste"/>
        <w:numPr>
          <w:ilvl w:val="0"/>
          <w:numId w:val="25"/>
        </w:numPr>
        <w:jc w:val="both"/>
        <w:rPr>
          <w:bCs/>
          <w:sz w:val="24"/>
        </w:rPr>
      </w:pPr>
      <w:r w:rsidRPr="007920A9">
        <w:rPr>
          <w:bCs/>
          <w:sz w:val="24"/>
        </w:rPr>
        <w:t xml:space="preserve">Plusieurs </w:t>
      </w:r>
      <w:r w:rsidR="00762A19">
        <w:rPr>
          <w:bCs/>
          <w:sz w:val="24"/>
        </w:rPr>
        <w:t>o</w:t>
      </w:r>
      <w:r w:rsidR="0059158A">
        <w:rPr>
          <w:bCs/>
          <w:sz w:val="24"/>
        </w:rPr>
        <w:t>rganis</w:t>
      </w:r>
      <w:r w:rsidR="00762A19" w:rsidRPr="007920A9">
        <w:rPr>
          <w:bCs/>
          <w:sz w:val="24"/>
        </w:rPr>
        <w:t>ations</w:t>
      </w:r>
      <w:r w:rsidRPr="007920A9">
        <w:rPr>
          <w:bCs/>
          <w:sz w:val="24"/>
        </w:rPr>
        <w:t xml:space="preserve"> de la société civile sont impliquées dans le développement des plans d’action du PGO</w:t>
      </w:r>
    </w:p>
    <w:p w14:paraId="542BD01D" w14:textId="22E420CB" w:rsidR="007920A9" w:rsidRPr="007920A9" w:rsidRDefault="007920A9" w:rsidP="001C539E">
      <w:pPr>
        <w:pStyle w:val="Paragraphedeliste"/>
        <w:numPr>
          <w:ilvl w:val="0"/>
          <w:numId w:val="25"/>
        </w:numPr>
        <w:rPr>
          <w:bCs/>
          <w:sz w:val="24"/>
        </w:rPr>
      </w:pPr>
      <w:r w:rsidRPr="007920A9">
        <w:rPr>
          <w:bCs/>
          <w:sz w:val="24"/>
        </w:rPr>
        <w:t xml:space="preserve">La Coalition Tunisienne de Transparence des hydrocarbures et des mines est </w:t>
      </w:r>
      <w:r w:rsidR="002B413B" w:rsidRPr="007920A9">
        <w:rPr>
          <w:bCs/>
          <w:sz w:val="24"/>
        </w:rPr>
        <w:t>impliquée</w:t>
      </w:r>
      <w:r w:rsidRPr="007920A9">
        <w:rPr>
          <w:bCs/>
          <w:sz w:val="24"/>
        </w:rPr>
        <w:t xml:space="preserve"> dans l’initiative ITEI</w:t>
      </w:r>
      <w:r w:rsidRPr="007920A9">
        <w:rPr>
          <w:rStyle w:val="Appelnotedebasdep"/>
          <w:bCs/>
          <w:sz w:val="24"/>
        </w:rPr>
        <w:footnoteReference w:id="71"/>
      </w:r>
    </w:p>
    <w:p w14:paraId="1D8FBDFE" w14:textId="0F11BADE" w:rsidR="00C2085B" w:rsidRDefault="00C2085B" w:rsidP="001C539E">
      <w:pPr>
        <w:pStyle w:val="Paragraphedeliste"/>
        <w:numPr>
          <w:ilvl w:val="0"/>
          <w:numId w:val="25"/>
        </w:numPr>
        <w:jc w:val="both"/>
        <w:rPr>
          <w:bCs/>
          <w:sz w:val="24"/>
        </w:rPr>
      </w:pPr>
      <w:r>
        <w:rPr>
          <w:bCs/>
          <w:sz w:val="24"/>
        </w:rPr>
        <w:t>Plusieurs événements liés au développement du data-</w:t>
      </w:r>
      <w:r w:rsidR="00FA0D54">
        <w:rPr>
          <w:bCs/>
          <w:sz w:val="24"/>
        </w:rPr>
        <w:t>journalisme</w:t>
      </w:r>
      <w:r>
        <w:rPr>
          <w:bCs/>
          <w:sz w:val="24"/>
        </w:rPr>
        <w:t xml:space="preserve"> ont été organisé</w:t>
      </w:r>
      <w:r w:rsidR="005A645F">
        <w:rPr>
          <w:bCs/>
          <w:sz w:val="24"/>
        </w:rPr>
        <w:t>s</w:t>
      </w:r>
      <w:r>
        <w:rPr>
          <w:bCs/>
          <w:sz w:val="24"/>
        </w:rPr>
        <w:t xml:space="preserve"> : </w:t>
      </w:r>
    </w:p>
    <w:p w14:paraId="6F238DB1" w14:textId="40250D1A" w:rsidR="00B15070" w:rsidRDefault="007920A9" w:rsidP="001C539E">
      <w:pPr>
        <w:pStyle w:val="Paragraphedeliste"/>
        <w:numPr>
          <w:ilvl w:val="1"/>
          <w:numId w:val="25"/>
        </w:numPr>
        <w:jc w:val="both"/>
        <w:rPr>
          <w:bCs/>
          <w:sz w:val="24"/>
        </w:rPr>
      </w:pPr>
      <w:r w:rsidRPr="007920A9">
        <w:rPr>
          <w:bCs/>
          <w:sz w:val="24"/>
        </w:rPr>
        <w:t>L’organisation Open Knowledge International</w:t>
      </w:r>
      <w:r w:rsidRPr="007920A9">
        <w:rPr>
          <w:rStyle w:val="Appelnotedebasdep"/>
          <w:bCs/>
          <w:sz w:val="24"/>
        </w:rPr>
        <w:footnoteReference w:id="72"/>
      </w:r>
      <w:r w:rsidRPr="007920A9">
        <w:rPr>
          <w:bCs/>
          <w:sz w:val="24"/>
        </w:rPr>
        <w:t xml:space="preserve"> a organisé un workshop sur le data- journalisme</w:t>
      </w:r>
      <w:r w:rsidRPr="007920A9">
        <w:rPr>
          <w:rStyle w:val="Appelnotedebasdep"/>
          <w:bCs/>
          <w:sz w:val="24"/>
        </w:rPr>
        <w:footnoteReference w:id="73"/>
      </w:r>
    </w:p>
    <w:p w14:paraId="68748312" w14:textId="48353975" w:rsidR="00C2085B" w:rsidRDefault="00C2085B" w:rsidP="001C539E">
      <w:pPr>
        <w:pStyle w:val="Paragraphedeliste"/>
        <w:numPr>
          <w:ilvl w:val="1"/>
          <w:numId w:val="25"/>
        </w:numPr>
        <w:jc w:val="both"/>
        <w:rPr>
          <w:bCs/>
          <w:sz w:val="24"/>
        </w:rPr>
      </w:pPr>
      <w:r>
        <w:rPr>
          <w:bCs/>
          <w:sz w:val="24"/>
        </w:rPr>
        <w:t>L’egov society a organisé un autre événement en 2017</w:t>
      </w:r>
      <w:r>
        <w:rPr>
          <w:rStyle w:val="Appelnotedebasdep"/>
          <w:bCs/>
          <w:sz w:val="24"/>
        </w:rPr>
        <w:footnoteReference w:id="74"/>
      </w:r>
    </w:p>
    <w:p w14:paraId="3CEA0CEE" w14:textId="0265179D" w:rsidR="00C2085B" w:rsidRDefault="00C2085B" w:rsidP="001C539E">
      <w:pPr>
        <w:pStyle w:val="Paragraphedeliste"/>
        <w:numPr>
          <w:ilvl w:val="0"/>
          <w:numId w:val="25"/>
        </w:numPr>
        <w:jc w:val="both"/>
        <w:rPr>
          <w:bCs/>
          <w:sz w:val="24"/>
        </w:rPr>
      </w:pPr>
      <w:r>
        <w:rPr>
          <w:bCs/>
          <w:sz w:val="24"/>
        </w:rPr>
        <w:t>Certain média comme Inkyfada</w:t>
      </w:r>
      <w:r>
        <w:rPr>
          <w:rStyle w:val="Appelnotedebasdep"/>
          <w:bCs/>
          <w:sz w:val="24"/>
        </w:rPr>
        <w:footnoteReference w:id="75"/>
      </w:r>
      <w:r>
        <w:rPr>
          <w:bCs/>
          <w:sz w:val="24"/>
        </w:rPr>
        <w:t xml:space="preserve"> sont les fers de lance de ce domaine</w:t>
      </w:r>
    </w:p>
    <w:p w14:paraId="1D5B5F31" w14:textId="57639DA7" w:rsidR="00B15070" w:rsidRDefault="007920A9" w:rsidP="001C539E">
      <w:pPr>
        <w:pStyle w:val="Paragraphedeliste"/>
        <w:numPr>
          <w:ilvl w:val="0"/>
          <w:numId w:val="25"/>
        </w:numPr>
        <w:jc w:val="both"/>
        <w:rPr>
          <w:bCs/>
          <w:sz w:val="24"/>
        </w:rPr>
      </w:pPr>
      <w:r w:rsidRPr="00B15070">
        <w:rPr>
          <w:bCs/>
          <w:sz w:val="24"/>
        </w:rPr>
        <w:t>Depuis 2015, un hackathon appelé AppsforDemocracy</w:t>
      </w:r>
      <w:r w:rsidR="006E5AB9">
        <w:rPr>
          <w:rStyle w:val="Appelnotedebasdep"/>
          <w:bCs/>
          <w:sz w:val="24"/>
        </w:rPr>
        <w:footnoteReference w:id="76"/>
      </w:r>
      <w:r w:rsidR="006E5AB9" w:rsidRPr="00B15070">
        <w:rPr>
          <w:bCs/>
          <w:sz w:val="24"/>
        </w:rPr>
        <w:t xml:space="preserve"> se focalise sur l’innovation pour la </w:t>
      </w:r>
      <w:r w:rsidR="00B15070" w:rsidRPr="00B15070">
        <w:rPr>
          <w:bCs/>
          <w:sz w:val="24"/>
        </w:rPr>
        <w:t>démocratie</w:t>
      </w:r>
      <w:r w:rsidR="006E5AB9" w:rsidRPr="00B15070">
        <w:rPr>
          <w:bCs/>
          <w:sz w:val="24"/>
        </w:rPr>
        <w:t xml:space="preserve">. Le gouvernement Tunisien participe à cette </w:t>
      </w:r>
      <w:r w:rsidR="00B15070" w:rsidRPr="00B15070">
        <w:rPr>
          <w:bCs/>
          <w:sz w:val="24"/>
        </w:rPr>
        <w:t xml:space="preserve">initiative. </w:t>
      </w:r>
    </w:p>
    <w:p w14:paraId="788765DE" w14:textId="2E033F49" w:rsidR="00394FF0" w:rsidRPr="00F86EBE" w:rsidRDefault="00394FF0" w:rsidP="001C539E">
      <w:pPr>
        <w:pStyle w:val="Paragraphedeliste"/>
        <w:numPr>
          <w:ilvl w:val="0"/>
          <w:numId w:val="21"/>
        </w:numPr>
        <w:jc w:val="both"/>
        <w:rPr>
          <w:bCs/>
          <w:sz w:val="24"/>
        </w:rPr>
      </w:pPr>
      <w:r w:rsidRPr="00F86EBE">
        <w:rPr>
          <w:bCs/>
          <w:sz w:val="24"/>
        </w:rPr>
        <w:t xml:space="preserve">Il y </w:t>
      </w:r>
      <w:r w:rsidR="00F86EBE">
        <w:rPr>
          <w:bCs/>
          <w:sz w:val="24"/>
        </w:rPr>
        <w:t>a une totale déconnexion entre l</w:t>
      </w:r>
      <w:r w:rsidRPr="00F86EBE">
        <w:rPr>
          <w:bCs/>
          <w:sz w:val="24"/>
        </w:rPr>
        <w:t xml:space="preserve">es initiatives </w:t>
      </w:r>
      <w:r w:rsidR="00F86EBE">
        <w:rPr>
          <w:bCs/>
          <w:sz w:val="24"/>
        </w:rPr>
        <w:t xml:space="preserve">mentionnées ci-dessus </w:t>
      </w:r>
      <w:r w:rsidRPr="00F86EBE">
        <w:rPr>
          <w:bCs/>
          <w:sz w:val="24"/>
        </w:rPr>
        <w:t>et les données gouvernementale</w:t>
      </w:r>
      <w:r w:rsidR="00F86EBE">
        <w:rPr>
          <w:bCs/>
          <w:sz w:val="24"/>
        </w:rPr>
        <w:t>s</w:t>
      </w:r>
      <w:r w:rsidRPr="00F86EBE">
        <w:rPr>
          <w:bCs/>
          <w:sz w:val="24"/>
        </w:rPr>
        <w:t xml:space="preserve">. Quasiment aucun de ces événements </w:t>
      </w:r>
      <w:r w:rsidR="00F86EBE">
        <w:rPr>
          <w:bCs/>
          <w:sz w:val="24"/>
        </w:rPr>
        <w:t>n’</w:t>
      </w:r>
      <w:r w:rsidRPr="00F86EBE">
        <w:rPr>
          <w:bCs/>
          <w:sz w:val="24"/>
        </w:rPr>
        <w:t xml:space="preserve">exploite de données gouvernementales publiques. </w:t>
      </w:r>
    </w:p>
    <w:p w14:paraId="331D9037" w14:textId="49AF1F22" w:rsidR="00B15070" w:rsidRPr="00B15070" w:rsidRDefault="00B15070" w:rsidP="00B15070">
      <w:pPr>
        <w:pStyle w:val="Paragraphedeliste"/>
        <w:jc w:val="both"/>
        <w:rPr>
          <w:bCs/>
          <w:sz w:val="24"/>
        </w:rPr>
      </w:pPr>
    </w:p>
    <w:p w14:paraId="71280CE6" w14:textId="77777777" w:rsidR="00DF65CF" w:rsidRPr="007920A9" w:rsidRDefault="00DF65CF" w:rsidP="00DF65CF">
      <w:pPr>
        <w:pStyle w:val="Paragraphedeliste"/>
        <w:jc w:val="both"/>
        <w:rPr>
          <w:bCs/>
          <w:sz w:val="24"/>
        </w:rPr>
      </w:pPr>
    </w:p>
    <w:p w14:paraId="02579E87" w14:textId="7665F321" w:rsidR="008B3687" w:rsidRDefault="008B3687" w:rsidP="00026C12">
      <w:pPr>
        <w:jc w:val="both"/>
        <w:rPr>
          <w:b/>
          <w:bCs/>
          <w:sz w:val="24"/>
        </w:rPr>
      </w:pPr>
      <w:r w:rsidRPr="007920A9">
        <w:rPr>
          <w:b/>
          <w:bCs/>
          <w:sz w:val="24"/>
        </w:rPr>
        <w:t>5.2 Quel est le niveau et la nature de la demande de données de la part des entreprises / du secteur privé ? (Importance: Élevée)</w:t>
      </w:r>
      <w:r w:rsidR="00630CF6">
        <w:rPr>
          <w:b/>
          <w:bCs/>
          <w:sz w:val="24"/>
        </w:rPr>
        <w:t xml:space="preserve"> </w:t>
      </w:r>
      <w:r w:rsidR="00630CF6" w:rsidRPr="00630CF6">
        <w:rPr>
          <w:b/>
          <w:bCs/>
          <w:sz w:val="24"/>
          <w:highlight w:val="yellow"/>
        </w:rPr>
        <w:t>JAUNE</w:t>
      </w:r>
      <w:r w:rsidR="00630CF6">
        <w:rPr>
          <w:b/>
          <w:bCs/>
          <w:sz w:val="24"/>
        </w:rPr>
        <w:t>/</w:t>
      </w:r>
      <w:r w:rsidR="00394FF0" w:rsidRPr="00394FF0">
        <w:rPr>
          <w:b/>
          <w:bCs/>
          <w:sz w:val="24"/>
          <w:highlight w:val="red"/>
        </w:rPr>
        <w:t>ROUGE</w:t>
      </w:r>
    </w:p>
    <w:p w14:paraId="47662DDA" w14:textId="2FA27782" w:rsidR="00394FF0" w:rsidRDefault="00394FF0" w:rsidP="00D5699E">
      <w:pPr>
        <w:pStyle w:val="Paragraphedeliste"/>
        <w:numPr>
          <w:ilvl w:val="0"/>
          <w:numId w:val="91"/>
        </w:numPr>
        <w:jc w:val="both"/>
        <w:rPr>
          <w:bCs/>
          <w:sz w:val="24"/>
        </w:rPr>
      </w:pPr>
      <w:r>
        <w:rPr>
          <w:bCs/>
          <w:sz w:val="24"/>
        </w:rPr>
        <w:t>Nous n’avons pas identifié de demande de données de la part du secteur privé</w:t>
      </w:r>
    </w:p>
    <w:p w14:paraId="06CF89ED" w14:textId="4D9FA1D2" w:rsidR="00394FF0" w:rsidRDefault="00394FF0" w:rsidP="00D5699E">
      <w:pPr>
        <w:pStyle w:val="Paragraphedeliste"/>
        <w:numPr>
          <w:ilvl w:val="0"/>
          <w:numId w:val="91"/>
        </w:numPr>
        <w:jc w:val="both"/>
        <w:rPr>
          <w:bCs/>
          <w:sz w:val="24"/>
        </w:rPr>
      </w:pPr>
      <w:r>
        <w:rPr>
          <w:bCs/>
          <w:sz w:val="24"/>
        </w:rPr>
        <w:t>La totalité des interlocuteurs rencontrés du c</w:t>
      </w:r>
      <w:r w:rsidR="005A645F">
        <w:rPr>
          <w:bCs/>
          <w:sz w:val="24"/>
        </w:rPr>
        <w:t>ô</w:t>
      </w:r>
      <w:r>
        <w:rPr>
          <w:bCs/>
          <w:sz w:val="24"/>
        </w:rPr>
        <w:t xml:space="preserve">té ministériel n’a mentionné aucune de demande du secteur privé et le manque de motivation que cette absence engendre du </w:t>
      </w:r>
      <w:r w:rsidR="00F86EBE">
        <w:rPr>
          <w:bCs/>
          <w:sz w:val="24"/>
        </w:rPr>
        <w:t>côté</w:t>
      </w:r>
      <w:r>
        <w:rPr>
          <w:bCs/>
          <w:sz w:val="24"/>
        </w:rPr>
        <w:t xml:space="preserve"> des structures publiant des données</w:t>
      </w:r>
    </w:p>
    <w:p w14:paraId="2EC52E1E" w14:textId="13BEF078" w:rsidR="00394FF0" w:rsidRDefault="00394FF0" w:rsidP="00D5699E">
      <w:pPr>
        <w:pStyle w:val="Paragraphedeliste"/>
        <w:numPr>
          <w:ilvl w:val="0"/>
          <w:numId w:val="93"/>
        </w:numPr>
        <w:jc w:val="both"/>
        <w:rPr>
          <w:bCs/>
          <w:sz w:val="24"/>
        </w:rPr>
      </w:pPr>
      <w:r>
        <w:rPr>
          <w:bCs/>
          <w:sz w:val="24"/>
        </w:rPr>
        <w:t>Certaines startups comme Webradar</w:t>
      </w:r>
      <w:r>
        <w:rPr>
          <w:rStyle w:val="Appelnotedebasdep"/>
          <w:bCs/>
          <w:sz w:val="24"/>
        </w:rPr>
        <w:footnoteReference w:id="77"/>
      </w:r>
      <w:r>
        <w:rPr>
          <w:bCs/>
          <w:sz w:val="24"/>
        </w:rPr>
        <w:t xml:space="preserve"> semble exploitée des données ouvertes, mais apparemment pas des </w:t>
      </w:r>
      <w:r w:rsidR="009352D9">
        <w:rPr>
          <w:bCs/>
          <w:sz w:val="24"/>
        </w:rPr>
        <w:t xml:space="preserve">données </w:t>
      </w:r>
      <w:r w:rsidR="0024337E">
        <w:rPr>
          <w:bCs/>
          <w:sz w:val="24"/>
        </w:rPr>
        <w:t xml:space="preserve">gouvernementales </w:t>
      </w:r>
    </w:p>
    <w:p w14:paraId="50DE36DE" w14:textId="5D93120B" w:rsidR="00F86EBE" w:rsidRDefault="00F86EBE" w:rsidP="00D5699E">
      <w:pPr>
        <w:pStyle w:val="Paragraphedeliste"/>
        <w:numPr>
          <w:ilvl w:val="0"/>
          <w:numId w:val="92"/>
        </w:numPr>
        <w:jc w:val="both"/>
        <w:rPr>
          <w:bCs/>
          <w:sz w:val="24"/>
        </w:rPr>
      </w:pPr>
      <w:r>
        <w:rPr>
          <w:bCs/>
          <w:sz w:val="24"/>
        </w:rPr>
        <w:t>Les capacités techniques et le dynamisme du secteur des TIC ne semble pas un obstacle</w:t>
      </w:r>
    </w:p>
    <w:p w14:paraId="6E2811B3" w14:textId="3B4D818E" w:rsidR="00630CF6" w:rsidRDefault="00630CF6" w:rsidP="00D5699E">
      <w:pPr>
        <w:pStyle w:val="Paragraphedeliste"/>
        <w:numPr>
          <w:ilvl w:val="0"/>
          <w:numId w:val="92"/>
        </w:numPr>
        <w:jc w:val="both"/>
        <w:rPr>
          <w:bCs/>
          <w:sz w:val="24"/>
        </w:rPr>
      </w:pPr>
      <w:r>
        <w:rPr>
          <w:bCs/>
          <w:sz w:val="24"/>
        </w:rPr>
        <w:t>Il y a plusieurs initiatives de type espace de co-working/incubateurs pour supporter l’innovation dans les TIC (exemple : Cogite</w:t>
      </w:r>
      <w:r>
        <w:rPr>
          <w:rStyle w:val="Appelnotedebasdep"/>
          <w:bCs/>
          <w:sz w:val="24"/>
        </w:rPr>
        <w:footnoteReference w:id="78"/>
      </w:r>
      <w:r>
        <w:rPr>
          <w:bCs/>
          <w:sz w:val="24"/>
        </w:rPr>
        <w:t xml:space="preserve"> ou El Space</w:t>
      </w:r>
      <w:r>
        <w:rPr>
          <w:rStyle w:val="Appelnotedebasdep"/>
          <w:bCs/>
          <w:sz w:val="24"/>
        </w:rPr>
        <w:footnoteReference w:id="79"/>
      </w:r>
      <w:r>
        <w:rPr>
          <w:bCs/>
          <w:sz w:val="24"/>
        </w:rPr>
        <w:t xml:space="preserve">) </w:t>
      </w:r>
    </w:p>
    <w:p w14:paraId="276E2D35" w14:textId="77777777" w:rsidR="00630CF6" w:rsidRDefault="00630CF6" w:rsidP="00D5699E">
      <w:pPr>
        <w:pStyle w:val="Paragraphedeliste"/>
        <w:numPr>
          <w:ilvl w:val="0"/>
          <w:numId w:val="92"/>
        </w:numPr>
        <w:jc w:val="both"/>
        <w:rPr>
          <w:bCs/>
          <w:sz w:val="24"/>
        </w:rPr>
      </w:pPr>
      <w:r>
        <w:rPr>
          <w:bCs/>
          <w:sz w:val="24"/>
        </w:rPr>
        <w:t>Il y a un très grand nombre de hackathons organisés par les acteurs du secteur des TIC sur à peu près tous les sujets du big data</w:t>
      </w:r>
      <w:r>
        <w:rPr>
          <w:rStyle w:val="Appelnotedebasdep"/>
          <w:bCs/>
          <w:sz w:val="24"/>
        </w:rPr>
        <w:footnoteReference w:id="80"/>
      </w:r>
      <w:r>
        <w:rPr>
          <w:bCs/>
          <w:sz w:val="24"/>
        </w:rPr>
        <w:t xml:space="preserve"> à l’agriculture</w:t>
      </w:r>
      <w:r>
        <w:rPr>
          <w:rStyle w:val="Appelnotedebasdep"/>
          <w:bCs/>
          <w:sz w:val="24"/>
        </w:rPr>
        <w:footnoteReference w:id="81"/>
      </w:r>
      <w:r>
        <w:rPr>
          <w:bCs/>
          <w:sz w:val="24"/>
        </w:rPr>
        <w:t xml:space="preserve"> ou la démocratie</w:t>
      </w:r>
      <w:r>
        <w:rPr>
          <w:rStyle w:val="Appelnotedebasdep"/>
          <w:bCs/>
          <w:sz w:val="24"/>
        </w:rPr>
        <w:footnoteReference w:id="82"/>
      </w:r>
    </w:p>
    <w:p w14:paraId="2576EE69" w14:textId="602626A9" w:rsidR="00394FF0" w:rsidRPr="00630CF6" w:rsidRDefault="00630CF6" w:rsidP="00D5699E">
      <w:pPr>
        <w:pStyle w:val="Paragraphedeliste"/>
        <w:numPr>
          <w:ilvl w:val="0"/>
          <w:numId w:val="92"/>
        </w:numPr>
        <w:jc w:val="both"/>
        <w:rPr>
          <w:bCs/>
          <w:sz w:val="24"/>
        </w:rPr>
      </w:pPr>
      <w:r>
        <w:rPr>
          <w:bCs/>
          <w:sz w:val="24"/>
        </w:rPr>
        <w:t>Similairement à la question 5.1, i</w:t>
      </w:r>
      <w:r w:rsidRPr="00F86EBE">
        <w:rPr>
          <w:bCs/>
          <w:sz w:val="24"/>
        </w:rPr>
        <w:t xml:space="preserve">l y </w:t>
      </w:r>
      <w:r>
        <w:rPr>
          <w:bCs/>
          <w:sz w:val="24"/>
        </w:rPr>
        <w:t>a une totale déconnexion entre l</w:t>
      </w:r>
      <w:r w:rsidRPr="00F86EBE">
        <w:rPr>
          <w:bCs/>
          <w:sz w:val="24"/>
        </w:rPr>
        <w:t xml:space="preserve">es initiatives </w:t>
      </w:r>
      <w:r>
        <w:rPr>
          <w:bCs/>
          <w:sz w:val="24"/>
        </w:rPr>
        <w:t xml:space="preserve">mentionnées ci-dessus </w:t>
      </w:r>
      <w:r w:rsidRPr="00F86EBE">
        <w:rPr>
          <w:bCs/>
          <w:sz w:val="24"/>
        </w:rPr>
        <w:t>et les données gouvernementale</w:t>
      </w:r>
      <w:r>
        <w:rPr>
          <w:bCs/>
          <w:sz w:val="24"/>
        </w:rPr>
        <w:t>s</w:t>
      </w:r>
      <w:r w:rsidRPr="00F86EBE">
        <w:rPr>
          <w:bCs/>
          <w:sz w:val="24"/>
        </w:rPr>
        <w:t xml:space="preserve">. Quasiment aucun de ces événements </w:t>
      </w:r>
      <w:r>
        <w:rPr>
          <w:bCs/>
          <w:sz w:val="24"/>
        </w:rPr>
        <w:t>n’</w:t>
      </w:r>
      <w:r w:rsidRPr="00F86EBE">
        <w:rPr>
          <w:bCs/>
          <w:sz w:val="24"/>
        </w:rPr>
        <w:t xml:space="preserve">exploitent de données gouvernementales publiques. </w:t>
      </w:r>
    </w:p>
    <w:p w14:paraId="44DEECF7" w14:textId="77777777" w:rsidR="00630CF6" w:rsidRDefault="008B3687" w:rsidP="00DF65CF">
      <w:pPr>
        <w:jc w:val="both"/>
        <w:rPr>
          <w:b/>
          <w:bCs/>
          <w:color w:val="FF0000"/>
          <w:sz w:val="24"/>
        </w:rPr>
      </w:pPr>
      <w:r w:rsidRPr="007920A9">
        <w:rPr>
          <w:b/>
          <w:bCs/>
          <w:sz w:val="24"/>
        </w:rPr>
        <w:t>5.3 Comment est-ce que les agences reçoivent et répondent aux demandes de données ? (Importance: Moyenne)</w:t>
      </w:r>
      <w:r w:rsidR="00A50FAC" w:rsidRPr="007920A9">
        <w:rPr>
          <w:b/>
          <w:bCs/>
          <w:sz w:val="24"/>
        </w:rPr>
        <w:t xml:space="preserve"> </w:t>
      </w:r>
      <w:r w:rsidR="00630CF6" w:rsidRPr="00630CF6">
        <w:rPr>
          <w:b/>
          <w:bCs/>
          <w:sz w:val="24"/>
          <w:highlight w:val="yellow"/>
        </w:rPr>
        <w:t>JAUNE</w:t>
      </w:r>
      <w:r w:rsidR="00630CF6">
        <w:rPr>
          <w:b/>
          <w:bCs/>
          <w:sz w:val="24"/>
        </w:rPr>
        <w:t>/</w:t>
      </w:r>
      <w:r w:rsidR="00630CF6" w:rsidRPr="00394FF0">
        <w:rPr>
          <w:b/>
          <w:bCs/>
          <w:sz w:val="24"/>
          <w:highlight w:val="red"/>
        </w:rPr>
        <w:t>ROUGE</w:t>
      </w:r>
      <w:r w:rsidR="00630CF6" w:rsidRPr="00B15070">
        <w:rPr>
          <w:b/>
          <w:bCs/>
          <w:color w:val="FF0000"/>
          <w:sz w:val="24"/>
        </w:rPr>
        <w:t xml:space="preserve"> </w:t>
      </w:r>
    </w:p>
    <w:p w14:paraId="3FD2C8FE" w14:textId="134FCED7" w:rsidR="00DF65CF" w:rsidRDefault="00630CF6" w:rsidP="00D5699E">
      <w:pPr>
        <w:pStyle w:val="Paragraphedeliste"/>
        <w:numPr>
          <w:ilvl w:val="0"/>
          <w:numId w:val="94"/>
        </w:numPr>
        <w:jc w:val="both"/>
        <w:rPr>
          <w:bCs/>
          <w:sz w:val="24"/>
        </w:rPr>
      </w:pPr>
      <w:r>
        <w:rPr>
          <w:bCs/>
          <w:sz w:val="24"/>
        </w:rPr>
        <w:t>La plupart des organisations de la SC ne sont pas sensibilisé à la différence entre la demande de données et la demande d’information. Les résultats de demande d’accès à l’information sont apparemment faibles (seulement 32% des requêtes reçoivent une réponse</w:t>
      </w:r>
      <w:r w:rsidR="00054FB4">
        <w:rPr>
          <w:bCs/>
          <w:sz w:val="24"/>
        </w:rPr>
        <w:t xml:space="preserve"> d’après une étude de l’ATCP</w:t>
      </w:r>
      <w:r w:rsidR="00054FB4">
        <w:rPr>
          <w:rStyle w:val="Appelnotedebasdep"/>
          <w:bCs/>
          <w:sz w:val="24"/>
        </w:rPr>
        <w:footnoteReference w:id="83"/>
      </w:r>
      <w:r>
        <w:rPr>
          <w:bCs/>
          <w:sz w:val="24"/>
        </w:rPr>
        <w:t>) mais pas de données fiables sur les demandes d’informations.</w:t>
      </w:r>
    </w:p>
    <w:p w14:paraId="6DB6ACD6" w14:textId="2DD1BB54" w:rsidR="00630CF6" w:rsidRDefault="00630CF6" w:rsidP="00D5699E">
      <w:pPr>
        <w:pStyle w:val="Paragraphedeliste"/>
        <w:numPr>
          <w:ilvl w:val="0"/>
          <w:numId w:val="95"/>
        </w:numPr>
        <w:jc w:val="both"/>
        <w:rPr>
          <w:bCs/>
          <w:sz w:val="24"/>
        </w:rPr>
      </w:pPr>
      <w:r>
        <w:rPr>
          <w:bCs/>
          <w:sz w:val="24"/>
        </w:rPr>
        <w:t>Sur des cas particuliers, comme la plateforme Cabrane</w:t>
      </w:r>
      <w:r>
        <w:rPr>
          <w:rStyle w:val="Appelnotedebasdep"/>
          <w:bCs/>
          <w:sz w:val="24"/>
        </w:rPr>
        <w:footnoteReference w:id="84"/>
      </w:r>
      <w:r>
        <w:rPr>
          <w:bCs/>
          <w:sz w:val="24"/>
        </w:rPr>
        <w:t xml:space="preserve">, </w:t>
      </w:r>
      <w:r w:rsidR="005B67BF">
        <w:rPr>
          <w:bCs/>
          <w:sz w:val="24"/>
        </w:rPr>
        <w:t>l’obtention d’information spécifique comme des données géospatiales sont difficile à obtenir, mais il n’est pas clair si les données existent et les possesseurs ne veulent pas la diffusées, ou si l’information n’existe pas.</w:t>
      </w:r>
    </w:p>
    <w:p w14:paraId="3914776D" w14:textId="132A9A6C" w:rsidR="00CA7270" w:rsidRDefault="005B67BF" w:rsidP="00D5699E">
      <w:pPr>
        <w:pStyle w:val="Paragraphedeliste"/>
        <w:numPr>
          <w:ilvl w:val="0"/>
          <w:numId w:val="94"/>
        </w:numPr>
        <w:jc w:val="both"/>
        <w:rPr>
          <w:bCs/>
          <w:sz w:val="24"/>
        </w:rPr>
      </w:pPr>
      <w:r>
        <w:rPr>
          <w:bCs/>
          <w:sz w:val="24"/>
        </w:rPr>
        <w:t>La plupart des ministères rencontrés souligne le manque de demandes de la part des acteurs non-gouvernementaux mais souligne également leur volonté de promouvoir la réutilisation pour supporter la motivation de publication</w:t>
      </w:r>
    </w:p>
    <w:p w14:paraId="6472E831" w14:textId="50A73F2C" w:rsidR="00CA7270" w:rsidRDefault="00CA7270" w:rsidP="00D5699E">
      <w:pPr>
        <w:pStyle w:val="Paragraphedeliste"/>
        <w:numPr>
          <w:ilvl w:val="0"/>
          <w:numId w:val="94"/>
        </w:numPr>
        <w:jc w:val="both"/>
        <w:rPr>
          <w:bCs/>
          <w:sz w:val="24"/>
        </w:rPr>
      </w:pPr>
      <w:r>
        <w:rPr>
          <w:bCs/>
          <w:sz w:val="24"/>
        </w:rPr>
        <w:t>Aucun</w:t>
      </w:r>
      <w:r w:rsidR="005A645F">
        <w:rPr>
          <w:bCs/>
          <w:sz w:val="24"/>
        </w:rPr>
        <w:t xml:space="preserve"> organisme public</w:t>
      </w:r>
      <w:r>
        <w:rPr>
          <w:bCs/>
          <w:sz w:val="24"/>
        </w:rPr>
        <w:t xml:space="preserve"> </w:t>
      </w:r>
      <w:r w:rsidR="005A645F">
        <w:rPr>
          <w:bCs/>
          <w:sz w:val="24"/>
        </w:rPr>
        <w:t xml:space="preserve">ne </w:t>
      </w:r>
      <w:r>
        <w:rPr>
          <w:bCs/>
          <w:sz w:val="24"/>
        </w:rPr>
        <w:t>gère de façon formelle les demandes de données qu’</w:t>
      </w:r>
      <w:r w:rsidR="005A645F">
        <w:rPr>
          <w:bCs/>
          <w:sz w:val="24"/>
        </w:rPr>
        <w:t>il</w:t>
      </w:r>
      <w:r>
        <w:rPr>
          <w:bCs/>
          <w:sz w:val="24"/>
        </w:rPr>
        <w:t>s recevraient</w:t>
      </w:r>
    </w:p>
    <w:p w14:paraId="7751DF89" w14:textId="55D49BB2" w:rsidR="00CA7270" w:rsidRDefault="00CA7270" w:rsidP="00D5699E">
      <w:pPr>
        <w:pStyle w:val="Paragraphedeliste"/>
        <w:numPr>
          <w:ilvl w:val="0"/>
          <w:numId w:val="97"/>
        </w:numPr>
        <w:jc w:val="both"/>
        <w:rPr>
          <w:bCs/>
          <w:sz w:val="24"/>
        </w:rPr>
      </w:pPr>
      <w:r>
        <w:rPr>
          <w:bCs/>
          <w:sz w:val="24"/>
        </w:rPr>
        <w:t xml:space="preserve">L’INS mentionne la réception d’un très grand nombre de requêtes de données par semaine venant de journalistes, chercheurs, et </w:t>
      </w:r>
      <w:r w:rsidR="002B413B">
        <w:rPr>
          <w:bCs/>
          <w:sz w:val="24"/>
        </w:rPr>
        <w:t>organisations internationales</w:t>
      </w:r>
    </w:p>
    <w:p w14:paraId="7D072286" w14:textId="0C3ACE8C" w:rsidR="00CA7270" w:rsidRDefault="00CA7270" w:rsidP="00D5699E">
      <w:pPr>
        <w:pStyle w:val="Paragraphedeliste"/>
        <w:numPr>
          <w:ilvl w:val="0"/>
          <w:numId w:val="97"/>
        </w:numPr>
        <w:jc w:val="both"/>
        <w:rPr>
          <w:bCs/>
          <w:sz w:val="24"/>
        </w:rPr>
      </w:pPr>
      <w:r>
        <w:rPr>
          <w:bCs/>
          <w:sz w:val="24"/>
        </w:rPr>
        <w:t xml:space="preserve">Le MIF a </w:t>
      </w:r>
      <w:r w:rsidR="00933617">
        <w:rPr>
          <w:bCs/>
          <w:sz w:val="24"/>
        </w:rPr>
        <w:t xml:space="preserve">créé en 2013 la commission mixte pour la transparence financière </w:t>
      </w:r>
      <w:r w:rsidR="001F629A">
        <w:rPr>
          <w:bCs/>
          <w:sz w:val="24"/>
        </w:rPr>
        <w:t>a l’initiative d’un ancien ministre des finances et des représentants de la société civile</w:t>
      </w:r>
      <w:r>
        <w:rPr>
          <w:bCs/>
          <w:sz w:val="24"/>
        </w:rPr>
        <w:t xml:space="preserve"> pour </w:t>
      </w:r>
      <w:r w:rsidR="001F629A">
        <w:rPr>
          <w:bCs/>
          <w:sz w:val="24"/>
        </w:rPr>
        <w:t xml:space="preserve">permettre un </w:t>
      </w:r>
      <w:r w:rsidR="001729D9">
        <w:rPr>
          <w:bCs/>
          <w:sz w:val="24"/>
        </w:rPr>
        <w:t>échange</w:t>
      </w:r>
      <w:r w:rsidR="001F629A">
        <w:rPr>
          <w:bCs/>
          <w:sz w:val="24"/>
        </w:rPr>
        <w:t xml:space="preserve"> et une discussion sur les </w:t>
      </w:r>
      <w:r>
        <w:rPr>
          <w:bCs/>
          <w:sz w:val="24"/>
        </w:rPr>
        <w:t>données à publier. Cette commission, qui ne se réunit plus maintenant était, d’après le</w:t>
      </w:r>
      <w:r w:rsidR="0024337E">
        <w:rPr>
          <w:bCs/>
          <w:sz w:val="24"/>
        </w:rPr>
        <w:t>s interlocuteurs au</w:t>
      </w:r>
      <w:r>
        <w:rPr>
          <w:bCs/>
          <w:sz w:val="24"/>
        </w:rPr>
        <w:t xml:space="preserve"> MIF, </w:t>
      </w:r>
      <w:r w:rsidR="002B413B">
        <w:rPr>
          <w:bCs/>
          <w:sz w:val="24"/>
        </w:rPr>
        <w:t>un outil très utile</w:t>
      </w:r>
      <w:r>
        <w:rPr>
          <w:bCs/>
          <w:sz w:val="24"/>
        </w:rPr>
        <w:t xml:space="preserve"> pour comprendre les besoins et la motivation de la SC, et facilitait la publication de données</w:t>
      </w:r>
      <w:r w:rsidR="001F629A">
        <w:rPr>
          <w:bCs/>
          <w:sz w:val="24"/>
        </w:rPr>
        <w:t xml:space="preserve">. </w:t>
      </w:r>
    </w:p>
    <w:p w14:paraId="1CB4CB37" w14:textId="52A98979" w:rsidR="00CA7270" w:rsidRPr="00CA7270" w:rsidRDefault="00CA7270" w:rsidP="00D5699E">
      <w:pPr>
        <w:pStyle w:val="Paragraphedeliste"/>
        <w:numPr>
          <w:ilvl w:val="0"/>
          <w:numId w:val="97"/>
        </w:numPr>
        <w:jc w:val="both"/>
        <w:rPr>
          <w:bCs/>
          <w:sz w:val="24"/>
        </w:rPr>
      </w:pPr>
      <w:r w:rsidRPr="00CA7270">
        <w:rPr>
          <w:bCs/>
          <w:sz w:val="24"/>
        </w:rPr>
        <w:t xml:space="preserve">Une expérience similaire est </w:t>
      </w:r>
      <w:r w:rsidR="002B413B" w:rsidRPr="00CA7270">
        <w:rPr>
          <w:bCs/>
          <w:sz w:val="24"/>
        </w:rPr>
        <w:t>rapportée</w:t>
      </w:r>
      <w:r w:rsidRPr="00CA7270">
        <w:rPr>
          <w:bCs/>
          <w:sz w:val="24"/>
        </w:rPr>
        <w:t xml:space="preserve"> par le MEMER avec </w:t>
      </w:r>
      <w:r w:rsidR="002B413B" w:rsidRPr="00CA7270">
        <w:rPr>
          <w:bCs/>
          <w:sz w:val="24"/>
        </w:rPr>
        <w:t>un échange récurrent</w:t>
      </w:r>
      <w:r w:rsidRPr="00CA7270">
        <w:rPr>
          <w:bCs/>
          <w:sz w:val="24"/>
        </w:rPr>
        <w:t xml:space="preserve"> avec la SC qui a influé leur choix de portail (CKAN), et les données publiées</w:t>
      </w:r>
    </w:p>
    <w:p w14:paraId="2DD0FB8B" w14:textId="0DF75027" w:rsidR="005B67BF" w:rsidRDefault="008B3687" w:rsidP="00DF65CF">
      <w:pPr>
        <w:jc w:val="both"/>
        <w:rPr>
          <w:b/>
          <w:bCs/>
          <w:color w:val="FF0000"/>
          <w:sz w:val="24"/>
        </w:rPr>
      </w:pPr>
      <w:r w:rsidRPr="007920A9">
        <w:rPr>
          <w:b/>
          <w:bCs/>
          <w:sz w:val="24"/>
        </w:rPr>
        <w:t>5.4 Comment est-ce que les membres de la société civile perçoivent la volonté des agences publiques d’écouter et de répondre aux demandes de données ? (Importance: Moyenne)</w:t>
      </w:r>
      <w:r w:rsidR="00A50FAC" w:rsidRPr="007920A9">
        <w:rPr>
          <w:b/>
          <w:bCs/>
          <w:sz w:val="24"/>
        </w:rPr>
        <w:t xml:space="preserve"> </w:t>
      </w:r>
      <w:r w:rsidR="005B67BF" w:rsidRPr="00630CF6">
        <w:rPr>
          <w:b/>
          <w:bCs/>
          <w:sz w:val="24"/>
          <w:highlight w:val="yellow"/>
        </w:rPr>
        <w:t>JAUNE</w:t>
      </w:r>
      <w:r w:rsidR="005B67BF">
        <w:rPr>
          <w:b/>
          <w:bCs/>
          <w:sz w:val="24"/>
        </w:rPr>
        <w:t>/</w:t>
      </w:r>
      <w:r w:rsidR="005B67BF" w:rsidRPr="00394FF0">
        <w:rPr>
          <w:b/>
          <w:bCs/>
          <w:sz w:val="24"/>
          <w:highlight w:val="red"/>
        </w:rPr>
        <w:t>ROUGE</w:t>
      </w:r>
      <w:r w:rsidR="005B67BF" w:rsidRPr="00B15070">
        <w:rPr>
          <w:b/>
          <w:bCs/>
          <w:color w:val="FF0000"/>
          <w:sz w:val="24"/>
        </w:rPr>
        <w:t xml:space="preserve"> </w:t>
      </w:r>
    </w:p>
    <w:p w14:paraId="63CA8E3B" w14:textId="256531EB" w:rsidR="005B67BF" w:rsidRDefault="00CA7270" w:rsidP="00D5699E">
      <w:pPr>
        <w:pStyle w:val="Paragraphedeliste"/>
        <w:numPr>
          <w:ilvl w:val="0"/>
          <w:numId w:val="96"/>
        </w:numPr>
        <w:jc w:val="both"/>
        <w:rPr>
          <w:bCs/>
          <w:sz w:val="24"/>
        </w:rPr>
      </w:pPr>
      <w:r w:rsidRPr="00CA7270">
        <w:rPr>
          <w:bCs/>
          <w:sz w:val="24"/>
        </w:rPr>
        <w:t xml:space="preserve">La plupart des organisations de la SC mentionne le faible taux de réponse aux demandes d’accès à l’information </w:t>
      </w:r>
      <w:r>
        <w:rPr>
          <w:bCs/>
          <w:sz w:val="24"/>
        </w:rPr>
        <w:t>mais ne rapporte pas spécifiquement de demande de données refusées.</w:t>
      </w:r>
    </w:p>
    <w:p w14:paraId="3638BC91" w14:textId="0517872C" w:rsidR="001729D9" w:rsidRDefault="001729D9" w:rsidP="00D5699E">
      <w:pPr>
        <w:pStyle w:val="Paragraphedeliste"/>
        <w:numPr>
          <w:ilvl w:val="0"/>
          <w:numId w:val="96"/>
        </w:numPr>
        <w:jc w:val="both"/>
        <w:rPr>
          <w:bCs/>
          <w:sz w:val="24"/>
        </w:rPr>
      </w:pPr>
      <w:r w:rsidRPr="001729D9">
        <w:rPr>
          <w:bCs/>
          <w:sz w:val="24"/>
        </w:rPr>
        <w:t>Un poste sur Facebook (en arabe)</w:t>
      </w:r>
      <w:r>
        <w:rPr>
          <w:rStyle w:val="Appelnotedebasdep"/>
          <w:bCs/>
          <w:sz w:val="24"/>
        </w:rPr>
        <w:footnoteReference w:id="85"/>
      </w:r>
      <w:r w:rsidRPr="001729D9">
        <w:rPr>
          <w:bCs/>
          <w:sz w:val="24"/>
        </w:rPr>
        <w:t xml:space="preserve"> a publié un échange email avec la </w:t>
      </w:r>
      <w:r>
        <w:rPr>
          <w:bCs/>
          <w:sz w:val="24"/>
        </w:rPr>
        <w:t>Sonede</w:t>
      </w:r>
      <w:r w:rsidRPr="001729D9">
        <w:rPr>
          <w:bCs/>
          <w:sz w:val="24"/>
        </w:rPr>
        <w:t xml:space="preserve"> qui a refusé de transmettre les résultats de l’analyse de l’eau de Djerba en expliquent que cette information a été classifiée comme non-divulgable.</w:t>
      </w:r>
    </w:p>
    <w:p w14:paraId="21A4C417" w14:textId="5A99399F" w:rsidR="00CA7270" w:rsidRDefault="00CA7270" w:rsidP="00D5699E">
      <w:pPr>
        <w:pStyle w:val="Paragraphedeliste"/>
        <w:numPr>
          <w:ilvl w:val="0"/>
          <w:numId w:val="96"/>
        </w:numPr>
        <w:jc w:val="both"/>
        <w:rPr>
          <w:bCs/>
          <w:sz w:val="24"/>
        </w:rPr>
      </w:pPr>
      <w:r>
        <w:rPr>
          <w:bCs/>
          <w:sz w:val="24"/>
        </w:rPr>
        <w:t xml:space="preserve">La plupart des acteurs de la SC souligne </w:t>
      </w:r>
      <w:r w:rsidR="002B413B">
        <w:rPr>
          <w:bCs/>
          <w:sz w:val="24"/>
        </w:rPr>
        <w:t>la faible valeur</w:t>
      </w:r>
      <w:r>
        <w:rPr>
          <w:bCs/>
          <w:sz w:val="24"/>
        </w:rPr>
        <w:t xml:space="preserve"> des informations publiées (information incomplète, agrégée, etc.)</w:t>
      </w:r>
    </w:p>
    <w:p w14:paraId="7E8DB92C" w14:textId="10C20F26" w:rsidR="00CA7270" w:rsidRDefault="00CA7270" w:rsidP="00D5699E">
      <w:pPr>
        <w:pStyle w:val="Paragraphedeliste"/>
        <w:numPr>
          <w:ilvl w:val="0"/>
          <w:numId w:val="96"/>
        </w:numPr>
        <w:jc w:val="both"/>
        <w:rPr>
          <w:bCs/>
          <w:sz w:val="24"/>
        </w:rPr>
      </w:pPr>
      <w:r>
        <w:rPr>
          <w:bCs/>
          <w:sz w:val="24"/>
        </w:rPr>
        <w:t xml:space="preserve">A part les deux expériences mentionnées à la question précédente concernant le MIF et le MEMER, il n’y a pas d’interaction entre les acteurs non-gouvernementaux et l’administration concernant la publication de données. </w:t>
      </w:r>
    </w:p>
    <w:p w14:paraId="7FCBD189" w14:textId="4D6957D2" w:rsidR="004625A1" w:rsidRPr="00CA7270" w:rsidRDefault="004625A1" w:rsidP="00D5699E">
      <w:pPr>
        <w:pStyle w:val="Paragraphedeliste"/>
        <w:numPr>
          <w:ilvl w:val="0"/>
          <w:numId w:val="98"/>
        </w:numPr>
        <w:jc w:val="both"/>
        <w:rPr>
          <w:bCs/>
          <w:sz w:val="24"/>
        </w:rPr>
      </w:pPr>
      <w:r>
        <w:rPr>
          <w:bCs/>
          <w:sz w:val="24"/>
        </w:rPr>
        <w:t>La partie importante des interlocuteurs ministériels rencontrés, et particulièrement ceux publiant déjà des données sont en demande d’exemples de réutilisation pour motiver et étendre l’offre</w:t>
      </w:r>
    </w:p>
    <w:p w14:paraId="618CDC83" w14:textId="77777777" w:rsidR="00704FAB" w:rsidRPr="007920A9" w:rsidRDefault="00704FAB" w:rsidP="00026C12">
      <w:pPr>
        <w:pStyle w:val="Sous-titre"/>
        <w:spacing w:before="0" w:after="240"/>
        <w:jc w:val="both"/>
        <w:rPr>
          <w:rStyle w:val="Emphaseple"/>
          <w:color w:val="auto"/>
          <w:lang w:val="fr-FR"/>
        </w:rPr>
      </w:pPr>
    </w:p>
    <w:p w14:paraId="73F465A1" w14:textId="77777777" w:rsidR="00A50FAC" w:rsidRPr="007920A9" w:rsidRDefault="00A50FAC" w:rsidP="00026C12">
      <w:pPr>
        <w:pStyle w:val="Sous-titre"/>
        <w:spacing w:before="0" w:after="240"/>
        <w:jc w:val="both"/>
        <w:rPr>
          <w:rStyle w:val="Emphaseple"/>
          <w:color w:val="auto"/>
          <w:lang w:val="fr-FR"/>
        </w:rPr>
      </w:pPr>
      <w:r w:rsidRPr="007920A9">
        <w:rPr>
          <w:rStyle w:val="Emphaseple"/>
          <w:color w:val="auto"/>
          <w:lang w:val="fr-FR"/>
        </w:rPr>
        <w:t>Evaluation de la DEMANDE CONCERNANT L’OUVERTURE DES DONNEES PUBLIQUES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276"/>
        <w:gridCol w:w="1417"/>
        <w:gridCol w:w="4536"/>
      </w:tblGrid>
      <w:tr w:rsidR="00026C12" w:rsidRPr="007920A9" w14:paraId="2DCD50CA" w14:textId="77777777" w:rsidTr="00A52A88">
        <w:trPr>
          <w:cantSplit/>
          <w:trHeight w:val="305"/>
          <w:tblHeader/>
        </w:trPr>
        <w:tc>
          <w:tcPr>
            <w:tcW w:w="1951" w:type="dxa"/>
            <w:shd w:val="clear" w:color="auto" w:fill="D9D9D9" w:themeFill="background1" w:themeFillShade="D9"/>
            <w:vAlign w:val="center"/>
          </w:tcPr>
          <w:p w14:paraId="01EBBBBE" w14:textId="77777777" w:rsidR="00A50FAC" w:rsidRPr="007920A9" w:rsidRDefault="00A50FAC" w:rsidP="00026C12">
            <w:pPr>
              <w:spacing w:after="0"/>
              <w:jc w:val="both"/>
              <w:rPr>
                <w:b/>
              </w:rPr>
            </w:pPr>
            <w:r w:rsidRPr="007920A9">
              <w:rPr>
                <w:b/>
              </w:rPr>
              <w:t>Domaine</w:t>
            </w:r>
          </w:p>
        </w:tc>
        <w:tc>
          <w:tcPr>
            <w:tcW w:w="1276" w:type="dxa"/>
            <w:shd w:val="clear" w:color="auto" w:fill="D9D9D9" w:themeFill="background1" w:themeFillShade="D9"/>
            <w:vAlign w:val="center"/>
          </w:tcPr>
          <w:p w14:paraId="4B8E0B04" w14:textId="77777777" w:rsidR="00A50FAC" w:rsidRPr="007920A9" w:rsidRDefault="00A50FAC" w:rsidP="00026C12">
            <w:pPr>
              <w:spacing w:after="0"/>
              <w:jc w:val="both"/>
              <w:rPr>
                <w:b/>
              </w:rPr>
            </w:pPr>
            <w:r w:rsidRPr="007920A9">
              <w:rPr>
                <w:b/>
              </w:rPr>
              <w:t>Importance</w:t>
            </w:r>
          </w:p>
        </w:tc>
        <w:tc>
          <w:tcPr>
            <w:tcW w:w="1417" w:type="dxa"/>
            <w:shd w:val="clear" w:color="auto" w:fill="D9D9D9" w:themeFill="background1" w:themeFillShade="D9"/>
            <w:vAlign w:val="center"/>
          </w:tcPr>
          <w:p w14:paraId="23496BA1" w14:textId="77777777" w:rsidR="00A50FAC" w:rsidRPr="007920A9" w:rsidRDefault="00A50FAC" w:rsidP="00026C12">
            <w:pPr>
              <w:spacing w:after="0"/>
              <w:jc w:val="both"/>
              <w:rPr>
                <w:b/>
              </w:rPr>
            </w:pPr>
            <w:r w:rsidRPr="007920A9">
              <w:rPr>
                <w:b/>
              </w:rPr>
              <w:t>Evaluation</w:t>
            </w:r>
          </w:p>
        </w:tc>
        <w:tc>
          <w:tcPr>
            <w:tcW w:w="4536" w:type="dxa"/>
            <w:shd w:val="clear" w:color="auto" w:fill="D9D9D9" w:themeFill="background1" w:themeFillShade="D9"/>
            <w:vAlign w:val="center"/>
          </w:tcPr>
          <w:p w14:paraId="52B2BB6E" w14:textId="77777777" w:rsidR="00A50FAC" w:rsidRPr="007920A9" w:rsidRDefault="00A50FAC" w:rsidP="00026C12">
            <w:pPr>
              <w:spacing w:after="0"/>
              <w:jc w:val="both"/>
              <w:rPr>
                <w:b/>
              </w:rPr>
            </w:pPr>
            <w:r w:rsidRPr="007920A9">
              <w:rPr>
                <w:b/>
              </w:rPr>
              <w:t>Commentaires</w:t>
            </w:r>
          </w:p>
        </w:tc>
      </w:tr>
      <w:tr w:rsidR="00026C12" w:rsidRPr="007920A9" w14:paraId="132B03E6" w14:textId="77777777" w:rsidTr="00A52A88">
        <w:tc>
          <w:tcPr>
            <w:tcW w:w="1951" w:type="dxa"/>
            <w:vAlign w:val="center"/>
          </w:tcPr>
          <w:p w14:paraId="38A12974" w14:textId="77777777" w:rsidR="00A50FAC" w:rsidRPr="007920A9" w:rsidRDefault="00A50FAC" w:rsidP="00C66790">
            <w:pPr>
              <w:spacing w:after="0"/>
              <w:rPr>
                <w:b/>
              </w:rPr>
            </w:pPr>
            <w:r w:rsidRPr="007920A9">
              <w:rPr>
                <w:b/>
              </w:rPr>
              <w:t>Niveau de la demande de la société civile</w:t>
            </w:r>
          </w:p>
        </w:tc>
        <w:tc>
          <w:tcPr>
            <w:tcW w:w="1276" w:type="dxa"/>
            <w:vAlign w:val="center"/>
          </w:tcPr>
          <w:p w14:paraId="19C01957" w14:textId="77777777" w:rsidR="00A50FAC" w:rsidRPr="007920A9" w:rsidRDefault="00A50FAC" w:rsidP="00026C12">
            <w:pPr>
              <w:spacing w:after="0"/>
              <w:jc w:val="both"/>
            </w:pPr>
            <w:r w:rsidRPr="007920A9">
              <w:rPr>
                <w:b/>
                <w:bCs/>
              </w:rPr>
              <w:t>Élevée</w:t>
            </w:r>
          </w:p>
        </w:tc>
        <w:tc>
          <w:tcPr>
            <w:tcW w:w="1417" w:type="dxa"/>
            <w:shd w:val="clear" w:color="auto" w:fill="auto"/>
            <w:vAlign w:val="center"/>
          </w:tcPr>
          <w:p w14:paraId="7998DC0B" w14:textId="24E69C22" w:rsidR="00A50FAC" w:rsidRPr="007920A9" w:rsidRDefault="004625A1" w:rsidP="00026C12">
            <w:pPr>
              <w:spacing w:after="0"/>
              <w:jc w:val="both"/>
              <w:rPr>
                <w:highlight w:val="lightGray"/>
              </w:rPr>
            </w:pPr>
            <w:r w:rsidRPr="00C2085B">
              <w:rPr>
                <w:b/>
                <w:bCs/>
                <w:sz w:val="24"/>
                <w:highlight w:val="yellow"/>
              </w:rPr>
              <w:t>JAUNE</w:t>
            </w:r>
            <w:r>
              <w:rPr>
                <w:b/>
                <w:bCs/>
                <w:sz w:val="24"/>
              </w:rPr>
              <w:t xml:space="preserve">/ </w:t>
            </w:r>
            <w:r w:rsidRPr="00630CF6">
              <w:rPr>
                <w:b/>
                <w:bCs/>
                <w:sz w:val="24"/>
                <w:highlight w:val="red"/>
              </w:rPr>
              <w:t>ROUGE</w:t>
            </w:r>
          </w:p>
        </w:tc>
        <w:tc>
          <w:tcPr>
            <w:tcW w:w="4536" w:type="dxa"/>
            <w:vAlign w:val="center"/>
          </w:tcPr>
          <w:p w14:paraId="4998CECB" w14:textId="1B57E639" w:rsidR="00A50FAC" w:rsidRDefault="004625A1" w:rsidP="00026C12">
            <w:pPr>
              <w:spacing w:after="0"/>
              <w:jc w:val="both"/>
            </w:pPr>
            <w:r>
              <w:t>Il y a une demande forte</w:t>
            </w:r>
            <w:r w:rsidR="00DF65CF">
              <w:t xml:space="preserve"> en provenance des acteurs de la société civile impliqués dans la transparence de gouvernance.</w:t>
            </w:r>
            <w:r>
              <w:t xml:space="preserve"> Mais cette demande se focalise surtout sur l’information et pas sur la publication de données. Il n’y pas peu ou pas d’exploitation des données fournies, peu de sensibilisation à l’open data et ses bénéfices potentiels</w:t>
            </w:r>
          </w:p>
          <w:p w14:paraId="783E9019" w14:textId="2A9F1D5A" w:rsidR="00DF65CF" w:rsidRPr="007920A9" w:rsidRDefault="00DF65CF" w:rsidP="00026C12">
            <w:pPr>
              <w:spacing w:after="0"/>
              <w:jc w:val="both"/>
            </w:pPr>
          </w:p>
        </w:tc>
      </w:tr>
      <w:tr w:rsidR="00026C12" w:rsidRPr="007920A9" w14:paraId="0E86A8F6" w14:textId="77777777" w:rsidTr="00A52A88">
        <w:tc>
          <w:tcPr>
            <w:tcW w:w="1951" w:type="dxa"/>
            <w:vAlign w:val="center"/>
          </w:tcPr>
          <w:p w14:paraId="744148EC" w14:textId="77777777" w:rsidR="00A50FAC" w:rsidRPr="007920A9" w:rsidRDefault="00A50FAC" w:rsidP="00C66790">
            <w:pPr>
              <w:spacing w:after="0"/>
              <w:rPr>
                <w:b/>
              </w:rPr>
            </w:pPr>
            <w:r w:rsidRPr="007920A9">
              <w:rPr>
                <w:b/>
              </w:rPr>
              <w:t>Niveau de la demande du secteur privé</w:t>
            </w:r>
          </w:p>
        </w:tc>
        <w:tc>
          <w:tcPr>
            <w:tcW w:w="1276" w:type="dxa"/>
            <w:vAlign w:val="center"/>
          </w:tcPr>
          <w:p w14:paraId="079772AF" w14:textId="77777777" w:rsidR="00A50FAC" w:rsidRPr="007920A9" w:rsidRDefault="00A50FAC" w:rsidP="00026C12">
            <w:pPr>
              <w:spacing w:after="0"/>
              <w:jc w:val="both"/>
            </w:pPr>
            <w:r w:rsidRPr="007920A9">
              <w:rPr>
                <w:b/>
                <w:bCs/>
              </w:rPr>
              <w:t>Élevée</w:t>
            </w:r>
          </w:p>
        </w:tc>
        <w:tc>
          <w:tcPr>
            <w:tcW w:w="1417" w:type="dxa"/>
            <w:tcBorders>
              <w:bottom w:val="single" w:sz="4" w:space="0" w:color="auto"/>
            </w:tcBorders>
            <w:shd w:val="clear" w:color="auto" w:fill="auto"/>
            <w:vAlign w:val="center"/>
          </w:tcPr>
          <w:p w14:paraId="58175B3F" w14:textId="522119D8" w:rsidR="00A50FAC" w:rsidRPr="007920A9" w:rsidRDefault="004625A1" w:rsidP="00026C12">
            <w:pPr>
              <w:spacing w:after="0"/>
              <w:jc w:val="both"/>
              <w:rPr>
                <w:highlight w:val="yellow"/>
              </w:rPr>
            </w:pPr>
            <w:r w:rsidRPr="00C2085B">
              <w:rPr>
                <w:b/>
                <w:bCs/>
                <w:sz w:val="24"/>
                <w:highlight w:val="yellow"/>
              </w:rPr>
              <w:t>JAUNE</w:t>
            </w:r>
            <w:r>
              <w:rPr>
                <w:b/>
                <w:bCs/>
                <w:sz w:val="24"/>
              </w:rPr>
              <w:t xml:space="preserve">/ </w:t>
            </w:r>
            <w:r w:rsidRPr="00630CF6">
              <w:rPr>
                <w:b/>
                <w:bCs/>
                <w:sz w:val="24"/>
                <w:highlight w:val="red"/>
              </w:rPr>
              <w:t>ROUGE</w:t>
            </w:r>
          </w:p>
        </w:tc>
        <w:tc>
          <w:tcPr>
            <w:tcW w:w="4536" w:type="dxa"/>
            <w:vAlign w:val="center"/>
          </w:tcPr>
          <w:p w14:paraId="13145828" w14:textId="36C82B0C" w:rsidR="00A50FAC" w:rsidRPr="007920A9" w:rsidRDefault="004625A1" w:rsidP="00026C12">
            <w:pPr>
              <w:pStyle w:val="En-tte"/>
              <w:tabs>
                <w:tab w:val="clear" w:pos="4513"/>
                <w:tab w:val="clear" w:pos="9026"/>
              </w:tabs>
              <w:spacing w:before="0" w:after="0"/>
              <w:jc w:val="both"/>
              <w:rPr>
                <w:sz w:val="22"/>
                <w:szCs w:val="22"/>
                <w:lang w:val="fr-FR"/>
              </w:rPr>
            </w:pPr>
            <w:r w:rsidRPr="001B6DD5">
              <w:rPr>
                <w:rFonts w:eastAsiaTheme="minorHAnsi"/>
                <w:sz w:val="22"/>
                <w:szCs w:val="22"/>
                <w:lang w:val="fr-FR"/>
              </w:rPr>
              <w:t xml:space="preserve">Le secteur privé est très dynamique dans le secteur de l’innovation avec nombre d’événements dans tous les domaines. Les capacités et l’intérêt sont présents. Il y a par contre une totale déconnexion de </w:t>
            </w:r>
            <w:r w:rsidR="002B413B" w:rsidRPr="001B6DD5">
              <w:rPr>
                <w:rFonts w:eastAsiaTheme="minorHAnsi"/>
                <w:sz w:val="22"/>
                <w:szCs w:val="22"/>
                <w:lang w:val="fr-FR"/>
              </w:rPr>
              <w:t>ces activités</w:t>
            </w:r>
            <w:r w:rsidRPr="001B6DD5">
              <w:rPr>
                <w:rFonts w:eastAsiaTheme="minorHAnsi"/>
                <w:sz w:val="22"/>
                <w:szCs w:val="22"/>
                <w:lang w:val="fr-FR"/>
              </w:rPr>
              <w:t xml:space="preserve"> avec la publication de données gouvernementale.</w:t>
            </w:r>
            <w:r w:rsidRPr="004625A1">
              <w:rPr>
                <w:lang w:val="fr-FR"/>
              </w:rPr>
              <w:t xml:space="preserve"> </w:t>
            </w:r>
          </w:p>
        </w:tc>
      </w:tr>
      <w:tr w:rsidR="00026C12" w:rsidRPr="007920A9" w14:paraId="4EA53F2B" w14:textId="77777777" w:rsidTr="00A52A88">
        <w:tc>
          <w:tcPr>
            <w:tcW w:w="1951" w:type="dxa"/>
            <w:vAlign w:val="center"/>
          </w:tcPr>
          <w:p w14:paraId="5F0CA235" w14:textId="3B2F59C5" w:rsidR="00A50FAC" w:rsidRPr="007920A9" w:rsidRDefault="00A50FAC" w:rsidP="00C66790">
            <w:pPr>
              <w:spacing w:after="0"/>
              <w:rPr>
                <w:b/>
              </w:rPr>
            </w:pPr>
            <w:r w:rsidRPr="007920A9">
              <w:rPr>
                <w:b/>
              </w:rPr>
              <w:t xml:space="preserve">Comportement des </w:t>
            </w:r>
            <w:r w:rsidR="000E2B23">
              <w:rPr>
                <w:b/>
              </w:rPr>
              <w:t>organismes publics</w:t>
            </w:r>
            <w:r w:rsidR="000E2B23" w:rsidRPr="007920A9">
              <w:rPr>
                <w:b/>
              </w:rPr>
              <w:t xml:space="preserve"> </w:t>
            </w:r>
            <w:r w:rsidRPr="007920A9">
              <w:rPr>
                <w:b/>
              </w:rPr>
              <w:t>vis-à-vis des requêtes de données</w:t>
            </w:r>
          </w:p>
        </w:tc>
        <w:tc>
          <w:tcPr>
            <w:tcW w:w="1276" w:type="dxa"/>
            <w:vAlign w:val="center"/>
          </w:tcPr>
          <w:p w14:paraId="02B7B7FB" w14:textId="77777777" w:rsidR="00A50FAC" w:rsidRPr="007920A9" w:rsidRDefault="00A50FAC" w:rsidP="00026C12">
            <w:pPr>
              <w:spacing w:after="0"/>
              <w:jc w:val="both"/>
            </w:pPr>
            <w:r w:rsidRPr="007920A9">
              <w:t>Moyenne</w:t>
            </w:r>
          </w:p>
        </w:tc>
        <w:tc>
          <w:tcPr>
            <w:tcW w:w="1417" w:type="dxa"/>
            <w:tcBorders>
              <w:bottom w:val="single" w:sz="4" w:space="0" w:color="auto"/>
            </w:tcBorders>
            <w:shd w:val="clear" w:color="auto" w:fill="auto"/>
            <w:vAlign w:val="center"/>
          </w:tcPr>
          <w:p w14:paraId="5D19BACD" w14:textId="1C3018D3" w:rsidR="00A50FAC" w:rsidRPr="007920A9" w:rsidRDefault="004625A1" w:rsidP="00026C12">
            <w:pPr>
              <w:spacing w:after="0"/>
              <w:jc w:val="both"/>
              <w:rPr>
                <w:b/>
                <w:highlight w:val="yellow"/>
              </w:rPr>
            </w:pPr>
            <w:r w:rsidRPr="00C2085B">
              <w:rPr>
                <w:b/>
                <w:bCs/>
                <w:sz w:val="24"/>
                <w:highlight w:val="yellow"/>
              </w:rPr>
              <w:t>JAUNE</w:t>
            </w:r>
            <w:r>
              <w:rPr>
                <w:b/>
                <w:bCs/>
                <w:sz w:val="24"/>
              </w:rPr>
              <w:t xml:space="preserve">/ </w:t>
            </w:r>
            <w:r w:rsidRPr="00630CF6">
              <w:rPr>
                <w:b/>
                <w:bCs/>
                <w:sz w:val="24"/>
                <w:highlight w:val="red"/>
              </w:rPr>
              <w:t>ROUGE</w:t>
            </w:r>
          </w:p>
        </w:tc>
        <w:tc>
          <w:tcPr>
            <w:tcW w:w="4536" w:type="dxa"/>
            <w:vAlign w:val="center"/>
          </w:tcPr>
          <w:p w14:paraId="404903A0" w14:textId="1FF4691B" w:rsidR="00A50FAC" w:rsidRPr="004625A1" w:rsidRDefault="004625A1" w:rsidP="00026C12">
            <w:pPr>
              <w:spacing w:after="0"/>
              <w:jc w:val="both"/>
            </w:pPr>
            <w:r w:rsidRPr="004625A1">
              <w:t xml:space="preserve">Il y a une totale déconnexion entre les </w:t>
            </w:r>
            <w:r w:rsidR="000E2B23">
              <w:t>organismes public</w:t>
            </w:r>
            <w:r w:rsidR="005A645F">
              <w:t>s</w:t>
            </w:r>
            <w:r w:rsidR="005A645F" w:rsidRPr="004625A1">
              <w:t xml:space="preserve"> </w:t>
            </w:r>
            <w:r w:rsidRPr="004625A1">
              <w:t xml:space="preserve">et les acteurs non-gouvernementaux. Les agences se plaignent de ne recevoir aucune demande et de ne voir aucune utilisation des données publiées. D’un autre côté, les acteurs </w:t>
            </w:r>
            <w:r w:rsidR="005A645F">
              <w:t>non-</w:t>
            </w:r>
            <w:r w:rsidRPr="004625A1">
              <w:t xml:space="preserve">gouvernementaux se plaignent </w:t>
            </w:r>
            <w:r w:rsidR="002B413B" w:rsidRPr="004625A1">
              <w:t>de la faible valeur</w:t>
            </w:r>
            <w:r w:rsidRPr="004625A1">
              <w:t xml:space="preserve"> des données publiées sans </w:t>
            </w:r>
            <w:r w:rsidR="002B413B" w:rsidRPr="004625A1">
              <w:t>essayer</w:t>
            </w:r>
            <w:r w:rsidRPr="004625A1">
              <w:t xml:space="preserve"> d’interagir avec les agences concernées.</w:t>
            </w:r>
          </w:p>
          <w:p w14:paraId="3F20212B" w14:textId="77EDB19F" w:rsidR="004625A1" w:rsidRPr="007920A9" w:rsidRDefault="004625A1" w:rsidP="00026C12">
            <w:pPr>
              <w:spacing w:after="0"/>
              <w:jc w:val="both"/>
            </w:pPr>
            <w:r w:rsidRPr="004625A1">
              <w:t>Les 2 initiatives de comité mixtes sont salué</w:t>
            </w:r>
            <w:r>
              <w:t>e</w:t>
            </w:r>
            <w:r w:rsidRPr="004625A1">
              <w:t>s comme efficace</w:t>
            </w:r>
            <w:r w:rsidR="00733310">
              <w:t>s</w:t>
            </w:r>
            <w:r w:rsidRPr="004625A1">
              <w:t xml:space="preserve"> et </w:t>
            </w:r>
            <w:r>
              <w:t>influençant</w:t>
            </w:r>
            <w:r w:rsidRPr="004625A1">
              <w:t xml:space="preserve"> le fonctionnement des agences</w:t>
            </w:r>
          </w:p>
        </w:tc>
      </w:tr>
      <w:tr w:rsidR="00026C12" w:rsidRPr="007920A9" w14:paraId="324249D9" w14:textId="77777777" w:rsidTr="00A52A88">
        <w:tc>
          <w:tcPr>
            <w:tcW w:w="1951" w:type="dxa"/>
            <w:tcBorders>
              <w:bottom w:val="single" w:sz="4" w:space="0" w:color="auto"/>
            </w:tcBorders>
            <w:vAlign w:val="center"/>
          </w:tcPr>
          <w:p w14:paraId="34753894" w14:textId="7E70FA4F" w:rsidR="00A50FAC" w:rsidRPr="007920A9" w:rsidRDefault="00A50FAC" w:rsidP="00C66790">
            <w:pPr>
              <w:spacing w:after="0"/>
              <w:rPr>
                <w:b/>
              </w:rPr>
            </w:pPr>
            <w:r w:rsidRPr="007920A9">
              <w:rPr>
                <w:b/>
              </w:rPr>
              <w:t xml:space="preserve">Perception du comportement des </w:t>
            </w:r>
            <w:r w:rsidR="000E2B23">
              <w:rPr>
                <w:b/>
              </w:rPr>
              <w:t>organismes publics</w:t>
            </w:r>
            <w:r w:rsidR="000E2B23" w:rsidRPr="007920A9">
              <w:rPr>
                <w:b/>
              </w:rPr>
              <w:t xml:space="preserve"> </w:t>
            </w:r>
            <w:r w:rsidRPr="007920A9">
              <w:rPr>
                <w:b/>
              </w:rPr>
              <w:t>vis-à-vis des requêtes de données</w:t>
            </w:r>
          </w:p>
        </w:tc>
        <w:tc>
          <w:tcPr>
            <w:tcW w:w="1276" w:type="dxa"/>
            <w:tcBorders>
              <w:bottom w:val="single" w:sz="4" w:space="0" w:color="auto"/>
            </w:tcBorders>
            <w:vAlign w:val="center"/>
          </w:tcPr>
          <w:p w14:paraId="10084515" w14:textId="77777777" w:rsidR="00A50FAC" w:rsidRPr="007920A9" w:rsidRDefault="00A50FAC" w:rsidP="00026C12">
            <w:pPr>
              <w:spacing w:after="0"/>
              <w:jc w:val="both"/>
            </w:pPr>
            <w:r w:rsidRPr="007920A9">
              <w:t>Moyenne</w:t>
            </w:r>
          </w:p>
        </w:tc>
        <w:tc>
          <w:tcPr>
            <w:tcW w:w="1417" w:type="dxa"/>
            <w:tcBorders>
              <w:bottom w:val="single" w:sz="4" w:space="0" w:color="auto"/>
            </w:tcBorders>
            <w:shd w:val="clear" w:color="auto" w:fill="auto"/>
            <w:vAlign w:val="center"/>
          </w:tcPr>
          <w:p w14:paraId="284EFCC3" w14:textId="669045F8" w:rsidR="00A50FAC" w:rsidRPr="007920A9" w:rsidRDefault="004625A1" w:rsidP="00026C12">
            <w:pPr>
              <w:spacing w:after="0"/>
              <w:jc w:val="both"/>
              <w:rPr>
                <w:highlight w:val="yellow"/>
              </w:rPr>
            </w:pPr>
            <w:r w:rsidRPr="00C2085B">
              <w:rPr>
                <w:b/>
                <w:bCs/>
                <w:sz w:val="24"/>
                <w:highlight w:val="yellow"/>
              </w:rPr>
              <w:t>JAUNE</w:t>
            </w:r>
            <w:r>
              <w:rPr>
                <w:b/>
                <w:bCs/>
                <w:sz w:val="24"/>
              </w:rPr>
              <w:t xml:space="preserve">/ </w:t>
            </w:r>
            <w:r w:rsidRPr="00630CF6">
              <w:rPr>
                <w:b/>
                <w:bCs/>
                <w:sz w:val="24"/>
                <w:highlight w:val="red"/>
              </w:rPr>
              <w:t>ROUGE</w:t>
            </w:r>
          </w:p>
        </w:tc>
        <w:tc>
          <w:tcPr>
            <w:tcW w:w="4536" w:type="dxa"/>
            <w:vAlign w:val="center"/>
          </w:tcPr>
          <w:p w14:paraId="57258D15" w14:textId="74C418DE" w:rsidR="00A50FAC" w:rsidRPr="004625A1" w:rsidRDefault="004625A1" w:rsidP="00026C12">
            <w:pPr>
              <w:spacing w:after="0"/>
              <w:jc w:val="both"/>
            </w:pPr>
            <w:r w:rsidRPr="004625A1">
              <w:t>Les acteurs non-gouvernementaux rencontrés ne mentionnent pas spécifiquement de refus de publication de données mais uniquement des non-réponse</w:t>
            </w:r>
            <w:r w:rsidR="00733310">
              <w:t>s</w:t>
            </w:r>
            <w:r w:rsidRPr="004625A1">
              <w:t xml:space="preserve"> à des demandes d’accès à l’information. Ils mentionnent également </w:t>
            </w:r>
            <w:r w:rsidR="002B413B" w:rsidRPr="004625A1">
              <w:t>la faible valeur</w:t>
            </w:r>
            <w:r w:rsidRPr="004625A1">
              <w:t xml:space="preserve"> des données publiées.</w:t>
            </w:r>
          </w:p>
          <w:p w14:paraId="79439F46" w14:textId="4D8CFACB" w:rsidR="004625A1" w:rsidRPr="007920A9" w:rsidRDefault="004625A1" w:rsidP="00026C12">
            <w:pPr>
              <w:spacing w:after="0"/>
              <w:jc w:val="both"/>
            </w:pPr>
          </w:p>
        </w:tc>
      </w:tr>
      <w:tr w:rsidR="00026C12" w:rsidRPr="007920A9" w14:paraId="48BDD0E0" w14:textId="77777777" w:rsidTr="00A52A88">
        <w:tc>
          <w:tcPr>
            <w:tcW w:w="1951" w:type="dxa"/>
            <w:shd w:val="clear" w:color="auto" w:fill="auto"/>
            <w:vAlign w:val="center"/>
          </w:tcPr>
          <w:p w14:paraId="3417E8C4" w14:textId="77777777" w:rsidR="00A50FAC" w:rsidRPr="007920A9" w:rsidRDefault="00A50FAC" w:rsidP="00026C12">
            <w:pPr>
              <w:spacing w:after="0"/>
              <w:jc w:val="both"/>
              <w:rPr>
                <w:b/>
              </w:rPr>
            </w:pPr>
            <w:r w:rsidRPr="007920A9">
              <w:rPr>
                <w:b/>
              </w:rPr>
              <w:t>Résultat Global</w:t>
            </w:r>
          </w:p>
        </w:tc>
        <w:tc>
          <w:tcPr>
            <w:tcW w:w="1276" w:type="dxa"/>
            <w:shd w:val="clear" w:color="auto" w:fill="auto"/>
            <w:vAlign w:val="center"/>
          </w:tcPr>
          <w:p w14:paraId="1449865D" w14:textId="77777777" w:rsidR="00A50FAC" w:rsidRPr="007920A9" w:rsidRDefault="00A50FAC" w:rsidP="00026C12">
            <w:pPr>
              <w:spacing w:after="0"/>
              <w:jc w:val="both"/>
              <w:rPr>
                <w:b/>
              </w:rPr>
            </w:pPr>
            <w:r w:rsidRPr="007920A9">
              <w:rPr>
                <w:b/>
                <w:bCs/>
              </w:rPr>
              <w:t>Très Élevée</w:t>
            </w:r>
          </w:p>
        </w:tc>
        <w:tc>
          <w:tcPr>
            <w:tcW w:w="1417" w:type="dxa"/>
            <w:shd w:val="clear" w:color="auto" w:fill="auto"/>
            <w:vAlign w:val="center"/>
          </w:tcPr>
          <w:p w14:paraId="63B46B7C" w14:textId="405AC9C7" w:rsidR="00A50FAC" w:rsidRPr="00AC61BF" w:rsidRDefault="00AC61BF" w:rsidP="00026C12">
            <w:pPr>
              <w:spacing w:after="0"/>
              <w:jc w:val="both"/>
              <w:rPr>
                <w:b/>
                <w:highlight w:val="yellow"/>
              </w:rPr>
            </w:pPr>
            <w:r w:rsidRPr="00AC61BF">
              <w:rPr>
                <w:b/>
                <w:highlight w:val="yellow"/>
              </w:rPr>
              <w:t>JAUNE</w:t>
            </w:r>
            <w:r w:rsidRPr="00AC61BF">
              <w:rPr>
                <w:b/>
              </w:rPr>
              <w:t xml:space="preserve">/ </w:t>
            </w:r>
            <w:r w:rsidRPr="00AC61BF">
              <w:rPr>
                <w:b/>
                <w:highlight w:val="red"/>
              </w:rPr>
              <w:t>ROUGE</w:t>
            </w:r>
          </w:p>
        </w:tc>
        <w:tc>
          <w:tcPr>
            <w:tcW w:w="4536" w:type="dxa"/>
            <w:vAlign w:val="center"/>
          </w:tcPr>
          <w:p w14:paraId="1352BCB2" w14:textId="77777777" w:rsidR="00A50FAC" w:rsidRPr="00AC61BF" w:rsidRDefault="00AC61BF" w:rsidP="00026C12">
            <w:pPr>
              <w:spacing w:after="0"/>
              <w:jc w:val="both"/>
            </w:pPr>
            <w:r w:rsidRPr="00AC61BF">
              <w:t>La communauté TIC est très active et organise de nombreux événements dans tous les domaines que ce soit dans des compétitions de startups, des formations au data journalisme etc.</w:t>
            </w:r>
          </w:p>
          <w:p w14:paraId="72A89735" w14:textId="2A636053" w:rsidR="00AC61BF" w:rsidRPr="00AC61BF" w:rsidRDefault="00AC61BF" w:rsidP="00026C12">
            <w:pPr>
              <w:spacing w:after="0"/>
              <w:jc w:val="both"/>
            </w:pPr>
            <w:r w:rsidRPr="00AC61BF">
              <w:t xml:space="preserve">Malheureusement il y a une étanchéité presque totale entre ces initiatives et les structures gouvernementales. Il n’y a aucune dynamique entre l’offre de </w:t>
            </w:r>
            <w:r w:rsidR="009352D9">
              <w:t>données gouvern</w:t>
            </w:r>
            <w:r w:rsidR="00FA1E5C">
              <w:t>e</w:t>
            </w:r>
            <w:r w:rsidR="009352D9">
              <w:t>mentales</w:t>
            </w:r>
            <w:r w:rsidR="00FA1E5C">
              <w:t xml:space="preserve"> </w:t>
            </w:r>
            <w:r w:rsidRPr="00AC61BF">
              <w:t>et la demande. Les acteurs non-gouvernementaux se basent sur l’offre actuelle sans engager de discussion avec les organismes publiques, et les organismes publiques, bien qu’ils soient en demande d’exemples de réutilisation pour motiver la publication ne sont pas au contact des demandeurs. Les quelques initiatives du MEMER et du MIF montrent pourtant le potentiel de cette approche</w:t>
            </w:r>
            <w:r w:rsidR="00FA1E5C">
              <w:t>.</w:t>
            </w:r>
          </w:p>
        </w:tc>
      </w:tr>
    </w:tbl>
    <w:p w14:paraId="35030EB2" w14:textId="77777777" w:rsidR="00A50FAC" w:rsidRPr="007920A9" w:rsidRDefault="00A50FAC" w:rsidP="00026C12">
      <w:pPr>
        <w:jc w:val="both"/>
        <w:rPr>
          <w:rFonts w:asciiTheme="majorHAnsi" w:eastAsiaTheme="majorEastAsia" w:hAnsiTheme="majorHAnsi" w:cstheme="majorBidi"/>
          <w:b/>
          <w:bCs/>
          <w:caps/>
          <w:sz w:val="28"/>
          <w:szCs w:val="28"/>
        </w:rPr>
      </w:pPr>
    </w:p>
    <w:p w14:paraId="2F1241EA" w14:textId="77777777" w:rsidR="001729D9" w:rsidRDefault="001729D9">
      <w:pPr>
        <w:rPr>
          <w:rFonts w:asciiTheme="majorHAnsi" w:eastAsiaTheme="majorEastAsia" w:hAnsiTheme="majorHAnsi" w:cstheme="majorBidi"/>
          <w:b/>
          <w:bCs/>
          <w:caps/>
          <w:color w:val="FFFFFF" w:themeColor="background1"/>
          <w:sz w:val="28"/>
          <w:szCs w:val="28"/>
        </w:rPr>
      </w:pPr>
      <w:bookmarkStart w:id="24" w:name="_Toc459307840"/>
      <w:r>
        <w:br w:type="page"/>
      </w:r>
    </w:p>
    <w:p w14:paraId="292FF1A2" w14:textId="4BAFB727" w:rsidR="008B3687" w:rsidRPr="007920A9" w:rsidRDefault="008B3687" w:rsidP="00026C12">
      <w:pPr>
        <w:pStyle w:val="Titre1"/>
        <w:jc w:val="both"/>
      </w:pPr>
      <w:bookmarkStart w:id="25" w:name="_Toc496544781"/>
      <w:r w:rsidRPr="007920A9">
        <w:t>Engagement citoyen et capacités concernant les données publiques</w:t>
      </w:r>
      <w:bookmarkEnd w:id="24"/>
      <w:bookmarkEnd w:id="25"/>
    </w:p>
    <w:p w14:paraId="2F559065" w14:textId="0A194A34" w:rsidR="008B3687" w:rsidRPr="007920A9" w:rsidRDefault="008B3687" w:rsidP="00026C12">
      <w:pPr>
        <w:jc w:val="both"/>
        <w:rPr>
          <w:b/>
          <w:bCs/>
          <w:sz w:val="24"/>
        </w:rPr>
      </w:pPr>
      <w:r w:rsidRPr="007920A9">
        <w:rPr>
          <w:b/>
          <w:bCs/>
          <w:sz w:val="24"/>
        </w:rPr>
        <w:t xml:space="preserve">6.1 Existe-t-il des infomédiaires (comme </w:t>
      </w:r>
      <w:r w:rsidR="002B413B" w:rsidRPr="007920A9">
        <w:rPr>
          <w:b/>
          <w:bCs/>
          <w:sz w:val="24"/>
        </w:rPr>
        <w:t>les journalistes spécialisés</w:t>
      </w:r>
      <w:r w:rsidRPr="007920A9">
        <w:rPr>
          <w:b/>
          <w:bCs/>
          <w:sz w:val="24"/>
        </w:rPr>
        <w:t xml:space="preserve"> dans les données) qui sont en mesure de contribuer à traduire les données ouvertes en information utile pour le public? Quelle(s) Initiatives) sont susceptibles de développer ou d’améliorer </w:t>
      </w:r>
      <w:r w:rsidR="002B413B" w:rsidRPr="007920A9">
        <w:rPr>
          <w:b/>
          <w:bCs/>
          <w:sz w:val="24"/>
        </w:rPr>
        <w:t>ces aspects</w:t>
      </w:r>
      <w:r w:rsidRPr="007920A9">
        <w:rPr>
          <w:b/>
          <w:bCs/>
          <w:sz w:val="24"/>
        </w:rPr>
        <w:t xml:space="preserve"> de l’</w:t>
      </w:r>
      <w:r w:rsidR="00AC3700" w:rsidRPr="007920A9">
        <w:rPr>
          <w:b/>
          <w:bCs/>
          <w:sz w:val="24"/>
        </w:rPr>
        <w:t>écosystème</w:t>
      </w:r>
      <w:r w:rsidRPr="007920A9">
        <w:rPr>
          <w:b/>
          <w:bCs/>
          <w:sz w:val="24"/>
        </w:rPr>
        <w:t xml:space="preserve"> Open Data ? (Importance: Élevée)</w:t>
      </w:r>
      <w:r w:rsidR="00AC3700" w:rsidRPr="007920A9">
        <w:rPr>
          <w:b/>
          <w:bCs/>
          <w:sz w:val="24"/>
        </w:rPr>
        <w:t xml:space="preserve"> </w:t>
      </w:r>
      <w:r w:rsidR="003C3B68">
        <w:rPr>
          <w:b/>
          <w:bCs/>
          <w:sz w:val="24"/>
          <w:highlight w:val="yellow"/>
        </w:rPr>
        <w:t>JAUNE</w:t>
      </w:r>
    </w:p>
    <w:p w14:paraId="00B25B6F" w14:textId="44B2B446" w:rsidR="00C12B67" w:rsidRDefault="009F1EF6" w:rsidP="001B6DD5">
      <w:pPr>
        <w:spacing w:after="0" w:line="240" w:lineRule="auto"/>
        <w:ind w:left="706" w:hanging="706"/>
        <w:jc w:val="both"/>
        <w:rPr>
          <w:bCs/>
          <w:sz w:val="24"/>
        </w:rPr>
      </w:pPr>
      <w:r w:rsidRPr="007920A9">
        <w:rPr>
          <w:bCs/>
          <w:sz w:val="24"/>
        </w:rPr>
        <w:t xml:space="preserve">+ </w:t>
      </w:r>
      <w:r w:rsidRPr="007920A9">
        <w:rPr>
          <w:bCs/>
          <w:sz w:val="24"/>
        </w:rPr>
        <w:tab/>
      </w:r>
      <w:r w:rsidR="00C12B67">
        <w:rPr>
          <w:bCs/>
          <w:sz w:val="24"/>
        </w:rPr>
        <w:t xml:space="preserve">Plusieurs organisations </w:t>
      </w:r>
      <w:r w:rsidR="005A645F">
        <w:rPr>
          <w:bCs/>
          <w:sz w:val="24"/>
        </w:rPr>
        <w:t xml:space="preserve">comme </w:t>
      </w:r>
      <w:r w:rsidR="00C12B67" w:rsidRPr="007920A9">
        <w:rPr>
          <w:bCs/>
          <w:sz w:val="24"/>
        </w:rPr>
        <w:t>Al Bawsala</w:t>
      </w:r>
      <w:r w:rsidR="00C12B67">
        <w:rPr>
          <w:bCs/>
          <w:sz w:val="24"/>
        </w:rPr>
        <w:t xml:space="preserve"> utilise</w:t>
      </w:r>
      <w:r w:rsidR="005A645F">
        <w:rPr>
          <w:bCs/>
          <w:sz w:val="24"/>
        </w:rPr>
        <w:t>nt</w:t>
      </w:r>
      <w:r w:rsidR="00C12B67">
        <w:rPr>
          <w:bCs/>
          <w:sz w:val="24"/>
        </w:rPr>
        <w:t xml:space="preserve"> des données ouvertes publiées pour faire des analyses budgétaires accessibles</w:t>
      </w:r>
      <w:r w:rsidR="00C12B67">
        <w:rPr>
          <w:rStyle w:val="Appelnotedebasdep"/>
          <w:bCs/>
          <w:sz w:val="24"/>
        </w:rPr>
        <w:footnoteReference w:id="86"/>
      </w:r>
      <w:r w:rsidR="00C12B67">
        <w:rPr>
          <w:bCs/>
          <w:sz w:val="24"/>
        </w:rPr>
        <w:t xml:space="preserve"> ou pour </w:t>
      </w:r>
      <w:r w:rsidR="0059158A">
        <w:rPr>
          <w:bCs/>
          <w:sz w:val="24"/>
        </w:rPr>
        <w:t xml:space="preserve">rendre compte des débats et de </w:t>
      </w:r>
      <w:r w:rsidR="00C12B67">
        <w:rPr>
          <w:bCs/>
          <w:sz w:val="24"/>
        </w:rPr>
        <w:t>la composition de l’assemblée constituante</w:t>
      </w:r>
      <w:r w:rsidR="00C12B67">
        <w:rPr>
          <w:rStyle w:val="Appelnotedebasdep"/>
          <w:bCs/>
          <w:sz w:val="24"/>
        </w:rPr>
        <w:footnoteReference w:id="87"/>
      </w:r>
    </w:p>
    <w:p w14:paraId="67E8EE9B" w14:textId="60AA8E1F" w:rsidR="00C12B67" w:rsidRDefault="00C12B67" w:rsidP="001B6DD5">
      <w:pPr>
        <w:spacing w:after="0" w:line="240" w:lineRule="auto"/>
        <w:ind w:left="706" w:hanging="706"/>
        <w:jc w:val="both"/>
        <w:rPr>
          <w:bCs/>
          <w:sz w:val="24"/>
        </w:rPr>
      </w:pPr>
      <w:r>
        <w:rPr>
          <w:bCs/>
          <w:sz w:val="24"/>
        </w:rPr>
        <w:t>+</w:t>
      </w:r>
      <w:r>
        <w:rPr>
          <w:bCs/>
          <w:sz w:val="24"/>
        </w:rPr>
        <w:tab/>
        <w:t>Le réseau Mourakiboun organise le monitoring des élections depuis 2011</w:t>
      </w:r>
      <w:r>
        <w:rPr>
          <w:rStyle w:val="Appelnotedebasdep"/>
          <w:bCs/>
          <w:sz w:val="24"/>
        </w:rPr>
        <w:footnoteReference w:id="88"/>
      </w:r>
      <w:r w:rsidR="006E4BBF">
        <w:rPr>
          <w:bCs/>
          <w:sz w:val="24"/>
        </w:rPr>
        <w:t xml:space="preserve"> au niveau</w:t>
      </w:r>
      <w:r>
        <w:rPr>
          <w:bCs/>
          <w:sz w:val="24"/>
        </w:rPr>
        <w:t xml:space="preserve"> national et local</w:t>
      </w:r>
    </w:p>
    <w:p w14:paraId="77C21EB7" w14:textId="459784B7" w:rsidR="00C12B67" w:rsidRDefault="00C12B67" w:rsidP="001B6DD5">
      <w:pPr>
        <w:spacing w:after="0" w:line="240" w:lineRule="auto"/>
        <w:ind w:left="706" w:hanging="706"/>
        <w:jc w:val="both"/>
        <w:rPr>
          <w:bCs/>
          <w:sz w:val="24"/>
        </w:rPr>
      </w:pPr>
      <w:r>
        <w:rPr>
          <w:bCs/>
          <w:sz w:val="24"/>
        </w:rPr>
        <w:t>+</w:t>
      </w:r>
      <w:r>
        <w:rPr>
          <w:bCs/>
          <w:sz w:val="24"/>
        </w:rPr>
        <w:tab/>
      </w:r>
      <w:r w:rsidR="005F2B76">
        <w:rPr>
          <w:bCs/>
          <w:sz w:val="24"/>
        </w:rPr>
        <w:t xml:space="preserve">Plusieurs </w:t>
      </w:r>
      <w:r>
        <w:rPr>
          <w:bCs/>
          <w:sz w:val="24"/>
        </w:rPr>
        <w:t>initiative</w:t>
      </w:r>
      <w:r w:rsidR="005F2B76">
        <w:rPr>
          <w:bCs/>
          <w:sz w:val="24"/>
        </w:rPr>
        <w:t>s</w:t>
      </w:r>
      <w:r>
        <w:rPr>
          <w:bCs/>
          <w:sz w:val="24"/>
        </w:rPr>
        <w:t xml:space="preserve"> de formation de journaliste</w:t>
      </w:r>
      <w:r w:rsidR="00CD086F">
        <w:rPr>
          <w:bCs/>
          <w:sz w:val="24"/>
        </w:rPr>
        <w:t>s</w:t>
      </w:r>
      <w:r>
        <w:rPr>
          <w:bCs/>
          <w:sz w:val="24"/>
        </w:rPr>
        <w:t xml:space="preserve"> au data-journalisme </w:t>
      </w:r>
      <w:r w:rsidR="005F2B76">
        <w:rPr>
          <w:bCs/>
          <w:sz w:val="24"/>
        </w:rPr>
        <w:t>ont</w:t>
      </w:r>
      <w:r>
        <w:rPr>
          <w:bCs/>
          <w:sz w:val="24"/>
        </w:rPr>
        <w:t xml:space="preserve"> été organisé</w:t>
      </w:r>
      <w:r w:rsidR="00CD086F">
        <w:rPr>
          <w:bCs/>
          <w:sz w:val="24"/>
        </w:rPr>
        <w:t>e</w:t>
      </w:r>
      <w:r w:rsidR="005F2B76">
        <w:rPr>
          <w:bCs/>
          <w:sz w:val="24"/>
        </w:rPr>
        <w:t>s</w:t>
      </w:r>
      <w:r w:rsidR="00E81F30">
        <w:rPr>
          <w:bCs/>
          <w:sz w:val="24"/>
        </w:rPr>
        <w:t xml:space="preserve"> en 2016</w:t>
      </w:r>
      <w:r w:rsidR="005F2B76">
        <w:rPr>
          <w:bCs/>
          <w:sz w:val="24"/>
        </w:rPr>
        <w:t xml:space="preserve"> et 2017</w:t>
      </w:r>
    </w:p>
    <w:p w14:paraId="0E0C2751" w14:textId="4ABDF354" w:rsidR="00E81F30" w:rsidRDefault="00E81F30" w:rsidP="001B6DD5">
      <w:pPr>
        <w:spacing w:after="0" w:line="240" w:lineRule="auto"/>
        <w:ind w:left="706" w:hanging="706"/>
        <w:jc w:val="both"/>
        <w:rPr>
          <w:bCs/>
          <w:sz w:val="24"/>
        </w:rPr>
      </w:pPr>
      <w:r>
        <w:rPr>
          <w:bCs/>
          <w:sz w:val="24"/>
        </w:rPr>
        <w:t xml:space="preserve">+ </w:t>
      </w:r>
      <w:r>
        <w:rPr>
          <w:bCs/>
          <w:sz w:val="24"/>
        </w:rPr>
        <w:tab/>
        <w:t>Le Magazine Web Inkyfada.com</w:t>
      </w:r>
      <w:r>
        <w:rPr>
          <w:rStyle w:val="Appelnotedebasdep"/>
          <w:bCs/>
          <w:sz w:val="24"/>
        </w:rPr>
        <w:footnoteReference w:id="89"/>
      </w:r>
      <w:r>
        <w:rPr>
          <w:bCs/>
          <w:sz w:val="24"/>
        </w:rPr>
        <w:t xml:space="preserve"> a organisé </w:t>
      </w:r>
      <w:r w:rsidR="002B413B">
        <w:rPr>
          <w:bCs/>
          <w:sz w:val="24"/>
        </w:rPr>
        <w:t>un événement régional</w:t>
      </w:r>
      <w:r>
        <w:rPr>
          <w:bCs/>
          <w:sz w:val="24"/>
        </w:rPr>
        <w:t xml:space="preserve"> à Tunis sur l’exploitation des données ouvertes</w:t>
      </w:r>
      <w:r>
        <w:rPr>
          <w:rStyle w:val="Appelnotedebasdep"/>
          <w:bCs/>
          <w:sz w:val="24"/>
        </w:rPr>
        <w:footnoteReference w:id="90"/>
      </w:r>
      <w:r>
        <w:rPr>
          <w:bCs/>
          <w:sz w:val="24"/>
        </w:rPr>
        <w:t xml:space="preserve"> </w:t>
      </w:r>
    </w:p>
    <w:p w14:paraId="260D3AE1" w14:textId="2FA39C12" w:rsidR="00C12B67" w:rsidRDefault="00C12B67" w:rsidP="001B6DD5">
      <w:pPr>
        <w:spacing w:after="0" w:line="240" w:lineRule="auto"/>
        <w:ind w:left="706" w:hanging="706"/>
        <w:jc w:val="both"/>
        <w:rPr>
          <w:bCs/>
          <w:sz w:val="24"/>
        </w:rPr>
      </w:pPr>
      <w:r>
        <w:rPr>
          <w:bCs/>
          <w:sz w:val="24"/>
        </w:rPr>
        <w:t>+</w:t>
      </w:r>
      <w:r>
        <w:rPr>
          <w:bCs/>
          <w:sz w:val="24"/>
        </w:rPr>
        <w:tab/>
        <w:t>Le secteur de la presse est reconnu libre par les organismes internationaux comme Freedom House</w:t>
      </w:r>
      <w:r>
        <w:rPr>
          <w:rStyle w:val="Appelnotedebasdep"/>
          <w:bCs/>
          <w:sz w:val="24"/>
        </w:rPr>
        <w:footnoteReference w:id="91"/>
      </w:r>
      <w:r>
        <w:rPr>
          <w:bCs/>
          <w:sz w:val="24"/>
        </w:rPr>
        <w:t>. RSF classe la Tunisie au rang 97 mondial pour la liberté de la presse</w:t>
      </w:r>
      <w:r>
        <w:rPr>
          <w:rStyle w:val="Appelnotedebasdep"/>
          <w:bCs/>
          <w:sz w:val="24"/>
        </w:rPr>
        <w:footnoteReference w:id="92"/>
      </w:r>
      <w:r>
        <w:rPr>
          <w:bCs/>
          <w:sz w:val="24"/>
        </w:rPr>
        <w:t>.</w:t>
      </w:r>
    </w:p>
    <w:p w14:paraId="32A73695" w14:textId="5C42C2ED" w:rsidR="005F2B76" w:rsidRDefault="005F2B76" w:rsidP="001B6DD5">
      <w:pPr>
        <w:spacing w:after="0" w:line="240" w:lineRule="auto"/>
        <w:ind w:left="706" w:hanging="706"/>
        <w:jc w:val="both"/>
        <w:rPr>
          <w:bCs/>
          <w:sz w:val="24"/>
        </w:rPr>
      </w:pPr>
      <w:r>
        <w:rPr>
          <w:bCs/>
          <w:sz w:val="24"/>
        </w:rPr>
        <w:t>+</w:t>
      </w:r>
      <w:r>
        <w:rPr>
          <w:bCs/>
          <w:sz w:val="24"/>
        </w:rPr>
        <w:tab/>
        <w:t>Plusieurs ministères, notamment le MEMER, font état d’articles de journaux exploitant des données publiées.</w:t>
      </w:r>
    </w:p>
    <w:p w14:paraId="72ADC9A2" w14:textId="5526399E" w:rsidR="005F2B76" w:rsidRDefault="005F2B76" w:rsidP="001B6DD5">
      <w:pPr>
        <w:spacing w:after="0" w:line="240" w:lineRule="auto"/>
        <w:ind w:left="706" w:hanging="706"/>
        <w:jc w:val="both"/>
        <w:rPr>
          <w:bCs/>
          <w:sz w:val="24"/>
        </w:rPr>
      </w:pPr>
      <w:r>
        <w:rPr>
          <w:bCs/>
          <w:sz w:val="24"/>
        </w:rPr>
        <w:t>+</w:t>
      </w:r>
      <w:r>
        <w:rPr>
          <w:bCs/>
          <w:sz w:val="24"/>
        </w:rPr>
        <w:tab/>
        <w:t>Le portail open-data du MEMER a été développé et mis en ligne pour répondre à une campagne de la SC « Ou est le pétrole de Tunisie ?»</w:t>
      </w:r>
      <w:r>
        <w:rPr>
          <w:rStyle w:val="Appelnotedebasdep"/>
          <w:bCs/>
          <w:sz w:val="24"/>
        </w:rPr>
        <w:footnoteReference w:id="93"/>
      </w:r>
    </w:p>
    <w:p w14:paraId="367D42D5" w14:textId="77777777" w:rsidR="00FA1E5C" w:rsidRDefault="00FA1E5C" w:rsidP="001B6DD5">
      <w:pPr>
        <w:spacing w:after="0" w:line="240" w:lineRule="auto"/>
        <w:ind w:left="706" w:hanging="706"/>
        <w:jc w:val="both"/>
        <w:rPr>
          <w:bCs/>
          <w:sz w:val="24"/>
        </w:rPr>
      </w:pPr>
    </w:p>
    <w:p w14:paraId="0F411540" w14:textId="1CFA1186" w:rsidR="008B3687" w:rsidRPr="007920A9" w:rsidRDefault="008B3687" w:rsidP="00026C12">
      <w:pPr>
        <w:jc w:val="both"/>
        <w:rPr>
          <w:b/>
          <w:bCs/>
          <w:sz w:val="24"/>
        </w:rPr>
      </w:pPr>
      <w:r w:rsidRPr="007920A9">
        <w:rPr>
          <w:b/>
          <w:bCs/>
          <w:sz w:val="24"/>
        </w:rPr>
        <w:t>6.2 Le gouvernement organise-t-il des activités visant à promouvoir la réutilisation des données gouvernementales (par exemple, développement d'applications ou organisation d’événements de co-création)</w:t>
      </w:r>
      <w:r w:rsidR="00FA1E5C">
        <w:rPr>
          <w:b/>
          <w:bCs/>
          <w:sz w:val="24"/>
        </w:rPr>
        <w:t xml:space="preserve"> </w:t>
      </w:r>
      <w:r w:rsidRPr="007920A9">
        <w:rPr>
          <w:b/>
          <w:bCs/>
          <w:sz w:val="24"/>
        </w:rPr>
        <w:t>? Comment ce type de promotion peut-il être développé ou amélioré ? (Importance : Élevée)</w:t>
      </w:r>
      <w:r w:rsidR="00AC3700" w:rsidRPr="007920A9">
        <w:rPr>
          <w:b/>
          <w:bCs/>
          <w:sz w:val="24"/>
        </w:rPr>
        <w:t xml:space="preserve"> </w:t>
      </w:r>
      <w:r w:rsidR="00E41B13">
        <w:rPr>
          <w:b/>
          <w:bCs/>
          <w:sz w:val="24"/>
          <w:highlight w:val="yellow"/>
        </w:rPr>
        <w:t>JAUNE</w:t>
      </w:r>
      <w:r w:rsidR="00BE1D2B">
        <w:rPr>
          <w:b/>
          <w:bCs/>
          <w:sz w:val="24"/>
        </w:rPr>
        <w:t xml:space="preserve"> / </w:t>
      </w:r>
      <w:r w:rsidR="00BE1D2B" w:rsidRPr="00BE1D2B">
        <w:rPr>
          <w:b/>
          <w:bCs/>
          <w:sz w:val="24"/>
          <w:highlight w:val="red"/>
        </w:rPr>
        <w:t>ROUGE</w:t>
      </w:r>
    </w:p>
    <w:p w14:paraId="26D30346" w14:textId="3E7FD191" w:rsidR="00762A19" w:rsidRPr="00E81F30" w:rsidRDefault="00762A19" w:rsidP="001C539E">
      <w:pPr>
        <w:pStyle w:val="Paragraphedeliste"/>
        <w:numPr>
          <w:ilvl w:val="0"/>
          <w:numId w:val="41"/>
        </w:numPr>
        <w:jc w:val="both"/>
        <w:rPr>
          <w:bCs/>
          <w:sz w:val="24"/>
        </w:rPr>
      </w:pPr>
      <w:r w:rsidRPr="00E81F30">
        <w:rPr>
          <w:bCs/>
          <w:sz w:val="24"/>
        </w:rPr>
        <w:t>Plusieurs événements de sensibilisation à l’Open Data ont été organisé</w:t>
      </w:r>
      <w:r w:rsidR="005A645F">
        <w:rPr>
          <w:bCs/>
          <w:sz w:val="24"/>
        </w:rPr>
        <w:t>s</w:t>
      </w:r>
      <w:r w:rsidRPr="00E81F30">
        <w:rPr>
          <w:bCs/>
          <w:sz w:val="24"/>
        </w:rPr>
        <w:t>. Par exemple l’organisation Clibre organise l’Open Data Day</w:t>
      </w:r>
      <w:r>
        <w:rPr>
          <w:rStyle w:val="Appelnotedebasdep"/>
          <w:bCs/>
          <w:sz w:val="24"/>
        </w:rPr>
        <w:footnoteReference w:id="94"/>
      </w:r>
      <w:r w:rsidRPr="00E81F30">
        <w:rPr>
          <w:bCs/>
          <w:sz w:val="24"/>
        </w:rPr>
        <w:t xml:space="preserve"> depuis 2014</w:t>
      </w:r>
      <w:r w:rsidR="00E81F30" w:rsidRPr="00E81F30">
        <w:rPr>
          <w:bCs/>
          <w:sz w:val="24"/>
        </w:rPr>
        <w:t xml:space="preserve"> mais pas par le gouvernement.</w:t>
      </w:r>
    </w:p>
    <w:p w14:paraId="6B895C01" w14:textId="5A391C9C" w:rsidR="00E81F30" w:rsidRDefault="00762A19" w:rsidP="001C539E">
      <w:pPr>
        <w:pStyle w:val="Paragraphedeliste"/>
        <w:numPr>
          <w:ilvl w:val="0"/>
          <w:numId w:val="40"/>
        </w:numPr>
        <w:jc w:val="both"/>
        <w:rPr>
          <w:bCs/>
          <w:sz w:val="24"/>
        </w:rPr>
      </w:pPr>
      <w:r w:rsidRPr="00E81F30">
        <w:rPr>
          <w:bCs/>
          <w:sz w:val="24"/>
        </w:rPr>
        <w:t xml:space="preserve">Le programme de gouvernance de l’OCDE pour la zone AMEA a organisé un atelier en 2016 sur la </w:t>
      </w:r>
      <w:r w:rsidR="00E81F30" w:rsidRPr="00E81F30">
        <w:rPr>
          <w:bCs/>
          <w:sz w:val="24"/>
        </w:rPr>
        <w:t>création de valeur à partir des données gouvernementales ouvertes</w:t>
      </w:r>
      <w:r>
        <w:rPr>
          <w:rStyle w:val="Appelnotedebasdep"/>
          <w:bCs/>
          <w:sz w:val="24"/>
        </w:rPr>
        <w:footnoteReference w:id="95"/>
      </w:r>
      <w:r w:rsidR="00BE1D2B">
        <w:rPr>
          <w:bCs/>
          <w:sz w:val="24"/>
        </w:rPr>
        <w:t xml:space="preserve"> mais </w:t>
      </w:r>
      <w:r w:rsidR="005A645F">
        <w:rPr>
          <w:bCs/>
          <w:sz w:val="24"/>
        </w:rPr>
        <w:t xml:space="preserve">il </w:t>
      </w:r>
      <w:r w:rsidR="00BE1D2B">
        <w:rPr>
          <w:bCs/>
          <w:sz w:val="24"/>
        </w:rPr>
        <w:t>ne concernait pas particulièrement les données du gouvernement Tunisien</w:t>
      </w:r>
    </w:p>
    <w:p w14:paraId="25C987AD" w14:textId="2DF0E210" w:rsidR="00E81F30" w:rsidRPr="00664232" w:rsidRDefault="00E81F30" w:rsidP="001C539E">
      <w:pPr>
        <w:pStyle w:val="Paragraphedeliste"/>
        <w:numPr>
          <w:ilvl w:val="0"/>
          <w:numId w:val="40"/>
        </w:numPr>
        <w:jc w:val="both"/>
        <w:rPr>
          <w:bCs/>
          <w:sz w:val="24"/>
        </w:rPr>
      </w:pPr>
      <w:r>
        <w:rPr>
          <w:bCs/>
          <w:sz w:val="24"/>
        </w:rPr>
        <w:t xml:space="preserve">Le gouvernement Tunisien est impliqué dans l’initiative Apps4Democracy depuis 2015, mais n’est pas l’organisateur </w:t>
      </w:r>
    </w:p>
    <w:p w14:paraId="64C84EC9" w14:textId="50105514" w:rsidR="00664232" w:rsidRPr="00E81F30" w:rsidRDefault="00664232" w:rsidP="00D5699E">
      <w:pPr>
        <w:pStyle w:val="Paragraphedeliste"/>
        <w:numPr>
          <w:ilvl w:val="0"/>
          <w:numId w:val="99"/>
        </w:numPr>
        <w:jc w:val="both"/>
        <w:rPr>
          <w:bCs/>
          <w:sz w:val="24"/>
        </w:rPr>
      </w:pPr>
      <w:r>
        <w:rPr>
          <w:rFonts w:cstheme="minorHAnsi"/>
          <w:sz w:val="24"/>
        </w:rPr>
        <w:t xml:space="preserve">Le gouvernement </w:t>
      </w:r>
      <w:r w:rsidR="00BE1D2B">
        <w:rPr>
          <w:rFonts w:cstheme="minorHAnsi"/>
          <w:sz w:val="24"/>
        </w:rPr>
        <w:t xml:space="preserve">ne </w:t>
      </w:r>
      <w:r>
        <w:rPr>
          <w:rFonts w:cstheme="minorHAnsi"/>
          <w:sz w:val="24"/>
        </w:rPr>
        <w:t xml:space="preserve">communique </w:t>
      </w:r>
      <w:r w:rsidR="00BE1D2B">
        <w:rPr>
          <w:rFonts w:cstheme="minorHAnsi"/>
          <w:sz w:val="24"/>
        </w:rPr>
        <w:t xml:space="preserve">pas </w:t>
      </w:r>
      <w:r>
        <w:rPr>
          <w:rFonts w:cstheme="minorHAnsi"/>
          <w:sz w:val="24"/>
        </w:rPr>
        <w:t>largement sur la publication de données</w:t>
      </w:r>
    </w:p>
    <w:p w14:paraId="1F37611B" w14:textId="5E89D4A3" w:rsidR="00762A19" w:rsidRPr="00BE1D2B" w:rsidRDefault="005A645F" w:rsidP="001C539E">
      <w:pPr>
        <w:pStyle w:val="Paragraphedeliste"/>
        <w:numPr>
          <w:ilvl w:val="0"/>
          <w:numId w:val="21"/>
        </w:numPr>
        <w:jc w:val="both"/>
        <w:rPr>
          <w:bCs/>
          <w:sz w:val="28"/>
        </w:rPr>
      </w:pPr>
      <w:r>
        <w:rPr>
          <w:bCs/>
          <w:sz w:val="24"/>
        </w:rPr>
        <w:t>Peu d’</w:t>
      </w:r>
      <w:r w:rsidR="00905E5F" w:rsidRPr="007920A9">
        <w:rPr>
          <w:bCs/>
          <w:sz w:val="24"/>
        </w:rPr>
        <w:t>événement</w:t>
      </w:r>
      <w:r>
        <w:rPr>
          <w:bCs/>
          <w:sz w:val="24"/>
        </w:rPr>
        <w:t>s ont</w:t>
      </w:r>
      <w:r w:rsidR="00905E5F" w:rsidRPr="007920A9">
        <w:rPr>
          <w:bCs/>
          <w:sz w:val="24"/>
        </w:rPr>
        <w:t xml:space="preserve"> été organisé</w:t>
      </w:r>
      <w:r>
        <w:rPr>
          <w:bCs/>
          <w:sz w:val="24"/>
        </w:rPr>
        <w:t>s</w:t>
      </w:r>
      <w:r w:rsidR="00905E5F" w:rsidRPr="007920A9">
        <w:rPr>
          <w:bCs/>
          <w:sz w:val="24"/>
        </w:rPr>
        <w:t xml:space="preserve"> à ce jour </w:t>
      </w:r>
      <w:r w:rsidR="00E81F30">
        <w:rPr>
          <w:bCs/>
          <w:sz w:val="24"/>
        </w:rPr>
        <w:t>par le gouvernement</w:t>
      </w:r>
      <w:r w:rsidR="00905E5F" w:rsidRPr="007920A9">
        <w:rPr>
          <w:bCs/>
          <w:sz w:val="24"/>
        </w:rPr>
        <w:t xml:space="preserve"> </w:t>
      </w:r>
      <w:r w:rsidR="00762A19">
        <w:rPr>
          <w:bCs/>
          <w:sz w:val="24"/>
        </w:rPr>
        <w:t>c</w:t>
      </w:r>
      <w:r w:rsidR="00AC3700" w:rsidRPr="007920A9">
        <w:rPr>
          <w:bCs/>
          <w:sz w:val="24"/>
        </w:rPr>
        <w:t>oncernant l’Open Data</w:t>
      </w:r>
      <w:r>
        <w:rPr>
          <w:rStyle w:val="Appelnotedebasdep"/>
          <w:bCs/>
          <w:sz w:val="24"/>
        </w:rPr>
        <w:footnoteReference w:id="96"/>
      </w:r>
      <w:r w:rsidR="00762A19" w:rsidRPr="00762A19">
        <w:rPr>
          <w:rFonts w:cstheme="minorHAnsi"/>
          <w:sz w:val="24"/>
        </w:rPr>
        <w:t xml:space="preserve"> </w:t>
      </w:r>
    </w:p>
    <w:p w14:paraId="79CBEE4F" w14:textId="75AAAB63" w:rsidR="00BE1D2B" w:rsidRPr="00E81F30" w:rsidRDefault="00BE1D2B" w:rsidP="001C539E">
      <w:pPr>
        <w:pStyle w:val="Paragraphedeliste"/>
        <w:numPr>
          <w:ilvl w:val="0"/>
          <w:numId w:val="21"/>
        </w:numPr>
        <w:jc w:val="both"/>
        <w:rPr>
          <w:bCs/>
          <w:sz w:val="28"/>
        </w:rPr>
      </w:pPr>
      <w:r>
        <w:rPr>
          <w:rFonts w:cstheme="minorHAnsi"/>
          <w:sz w:val="24"/>
        </w:rPr>
        <w:t xml:space="preserve">Le plan OGP intègre la réalisation d’applications, mais ces applications, notamment celles du MIT sont faites de </w:t>
      </w:r>
      <w:r w:rsidR="002B413B">
        <w:rPr>
          <w:rFonts w:cstheme="minorHAnsi"/>
          <w:sz w:val="24"/>
        </w:rPr>
        <w:t>façon traditionnelle</w:t>
      </w:r>
      <w:r>
        <w:rPr>
          <w:rFonts w:cstheme="minorHAnsi"/>
          <w:sz w:val="24"/>
        </w:rPr>
        <w:t xml:space="preserve"> en interne</w:t>
      </w:r>
    </w:p>
    <w:p w14:paraId="6EB80EE7" w14:textId="620EA191" w:rsidR="00AC3700" w:rsidRPr="00BE1D2B" w:rsidRDefault="00AC3700" w:rsidP="00BE1D2B">
      <w:pPr>
        <w:ind w:left="360"/>
        <w:jc w:val="both"/>
        <w:rPr>
          <w:bCs/>
          <w:sz w:val="24"/>
        </w:rPr>
      </w:pPr>
    </w:p>
    <w:p w14:paraId="2620A057" w14:textId="20E6F42C" w:rsidR="008B3687" w:rsidRDefault="008B3687" w:rsidP="00BE1D2B">
      <w:pPr>
        <w:ind w:left="360"/>
        <w:jc w:val="both"/>
        <w:rPr>
          <w:b/>
          <w:bCs/>
          <w:sz w:val="24"/>
        </w:rPr>
      </w:pPr>
      <w:r w:rsidRPr="007920A9">
        <w:rPr>
          <w:b/>
          <w:bCs/>
          <w:sz w:val="24"/>
        </w:rPr>
        <w:t>6.3 Quel est le degré d’interaction entre le gouvernement et les citoyens sur les réseaux sociaux ou tout autre canal digital ? (Importance: Moyenne)</w:t>
      </w:r>
      <w:r w:rsidR="00AC3700" w:rsidRPr="007920A9">
        <w:rPr>
          <w:b/>
          <w:bCs/>
          <w:sz w:val="24"/>
        </w:rPr>
        <w:t xml:space="preserve"> </w:t>
      </w:r>
      <w:r w:rsidR="00BE1D2B">
        <w:rPr>
          <w:b/>
          <w:bCs/>
          <w:sz w:val="24"/>
          <w:highlight w:val="yellow"/>
        </w:rPr>
        <w:t>JAUNE</w:t>
      </w:r>
      <w:r w:rsidR="00BE1D2B">
        <w:rPr>
          <w:b/>
          <w:bCs/>
          <w:sz w:val="24"/>
        </w:rPr>
        <w:t xml:space="preserve"> / </w:t>
      </w:r>
      <w:r w:rsidR="00BE1D2B" w:rsidRPr="00BE1D2B">
        <w:rPr>
          <w:b/>
          <w:bCs/>
          <w:sz w:val="24"/>
          <w:highlight w:val="red"/>
        </w:rPr>
        <w:t>ROUGE</w:t>
      </w:r>
    </w:p>
    <w:p w14:paraId="5600CB8A" w14:textId="62B8D6E5" w:rsidR="00664232" w:rsidRPr="00664232" w:rsidRDefault="00664232" w:rsidP="001C539E">
      <w:pPr>
        <w:pStyle w:val="Paragraphedeliste"/>
        <w:numPr>
          <w:ilvl w:val="0"/>
          <w:numId w:val="42"/>
        </w:numPr>
        <w:jc w:val="both"/>
        <w:rPr>
          <w:bCs/>
          <w:sz w:val="24"/>
        </w:rPr>
      </w:pPr>
      <w:r w:rsidRPr="00664232">
        <w:rPr>
          <w:bCs/>
          <w:sz w:val="24"/>
        </w:rPr>
        <w:t xml:space="preserve">Plusieurs </w:t>
      </w:r>
      <w:r w:rsidR="005A645F">
        <w:rPr>
          <w:bCs/>
          <w:sz w:val="24"/>
        </w:rPr>
        <w:t>organismes publics</w:t>
      </w:r>
      <w:r w:rsidR="005A645F" w:rsidRPr="00664232">
        <w:rPr>
          <w:bCs/>
          <w:sz w:val="24"/>
        </w:rPr>
        <w:t xml:space="preserve"> </w:t>
      </w:r>
      <w:r w:rsidRPr="00664232">
        <w:rPr>
          <w:bCs/>
          <w:sz w:val="24"/>
        </w:rPr>
        <w:t xml:space="preserve">dont la </w:t>
      </w:r>
      <w:r w:rsidR="005A645F">
        <w:rPr>
          <w:bCs/>
          <w:sz w:val="24"/>
        </w:rPr>
        <w:t>P</w:t>
      </w:r>
      <w:r w:rsidRPr="00664232">
        <w:rPr>
          <w:bCs/>
          <w:sz w:val="24"/>
        </w:rPr>
        <w:t>résidence du Gouvernement ont une présence sur Facebook</w:t>
      </w:r>
    </w:p>
    <w:p w14:paraId="5616E3C1" w14:textId="6BB5473A" w:rsidR="00664232" w:rsidRDefault="00664232" w:rsidP="001C539E">
      <w:pPr>
        <w:pStyle w:val="Paragraphedeliste"/>
        <w:numPr>
          <w:ilvl w:val="0"/>
          <w:numId w:val="21"/>
        </w:numPr>
        <w:jc w:val="both"/>
        <w:rPr>
          <w:bCs/>
          <w:sz w:val="24"/>
        </w:rPr>
      </w:pPr>
      <w:r w:rsidRPr="00664232">
        <w:rPr>
          <w:bCs/>
          <w:sz w:val="24"/>
        </w:rPr>
        <w:t>L’interaction sur les réseaux</w:t>
      </w:r>
      <w:r>
        <w:rPr>
          <w:bCs/>
          <w:sz w:val="24"/>
        </w:rPr>
        <w:t xml:space="preserve"> sociaux semble limitée et les </w:t>
      </w:r>
      <w:r w:rsidRPr="00664232">
        <w:rPr>
          <w:bCs/>
          <w:sz w:val="24"/>
        </w:rPr>
        <w:t>réseaux sociaux sont utilisés comme canaux de dissémination et non d’interaction</w:t>
      </w:r>
    </w:p>
    <w:p w14:paraId="247A64E6" w14:textId="0340FE51" w:rsidR="00BE1D2B" w:rsidRDefault="00BE1D2B" w:rsidP="001C539E">
      <w:pPr>
        <w:pStyle w:val="Paragraphedeliste"/>
        <w:numPr>
          <w:ilvl w:val="0"/>
          <w:numId w:val="21"/>
        </w:numPr>
        <w:jc w:val="both"/>
        <w:rPr>
          <w:bCs/>
          <w:sz w:val="24"/>
        </w:rPr>
      </w:pPr>
      <w:r>
        <w:rPr>
          <w:bCs/>
          <w:sz w:val="24"/>
        </w:rPr>
        <w:t>Plusieurs agences ont mentionné que la communication avec les citoyens, notamment les demandes d’accès à l’information se font par papier</w:t>
      </w:r>
    </w:p>
    <w:p w14:paraId="6F69175B" w14:textId="0A593701" w:rsidR="00B45577" w:rsidRDefault="00B45577" w:rsidP="00D5699E">
      <w:pPr>
        <w:pStyle w:val="Paragraphedeliste"/>
        <w:numPr>
          <w:ilvl w:val="0"/>
          <w:numId w:val="100"/>
        </w:numPr>
        <w:jc w:val="both"/>
        <w:rPr>
          <w:bCs/>
          <w:sz w:val="24"/>
        </w:rPr>
      </w:pPr>
      <w:r>
        <w:rPr>
          <w:bCs/>
          <w:sz w:val="24"/>
        </w:rPr>
        <w:t>L’INS a mentionné que la grande majorité des requêtes de données arrivaient par voie électronique</w:t>
      </w:r>
    </w:p>
    <w:p w14:paraId="04C94115" w14:textId="5D3B0183" w:rsidR="00BE1D2B" w:rsidRPr="00664232" w:rsidRDefault="00BE1D2B" w:rsidP="00D5699E">
      <w:pPr>
        <w:pStyle w:val="Paragraphedeliste"/>
        <w:numPr>
          <w:ilvl w:val="0"/>
          <w:numId w:val="100"/>
        </w:numPr>
        <w:jc w:val="both"/>
        <w:rPr>
          <w:bCs/>
          <w:sz w:val="24"/>
        </w:rPr>
      </w:pPr>
      <w:r>
        <w:rPr>
          <w:bCs/>
          <w:sz w:val="24"/>
        </w:rPr>
        <w:t xml:space="preserve">De plus en plus </w:t>
      </w:r>
      <w:r w:rsidR="005A645F">
        <w:rPr>
          <w:bCs/>
          <w:sz w:val="24"/>
        </w:rPr>
        <w:t xml:space="preserve">d’organismes publics </w:t>
      </w:r>
      <w:r>
        <w:rPr>
          <w:bCs/>
          <w:sz w:val="24"/>
        </w:rPr>
        <w:t>s’</w:t>
      </w:r>
      <w:r w:rsidR="00B45577">
        <w:rPr>
          <w:bCs/>
          <w:sz w:val="24"/>
        </w:rPr>
        <w:t>engagent dans l’interaction digitale</w:t>
      </w:r>
      <w:r>
        <w:rPr>
          <w:bCs/>
          <w:sz w:val="24"/>
        </w:rPr>
        <w:t>.</w:t>
      </w:r>
      <w:r w:rsidR="00B45577">
        <w:rPr>
          <w:bCs/>
          <w:sz w:val="24"/>
        </w:rPr>
        <w:t xml:space="preserve"> Par exemple, TUNEPS promeut l’enregistrement des fournisseurs sur sa plateforme et leur fournit des services à valeur ajouté</w:t>
      </w:r>
      <w:r w:rsidR="00CD086F">
        <w:rPr>
          <w:bCs/>
          <w:sz w:val="24"/>
        </w:rPr>
        <w:t>e</w:t>
      </w:r>
      <w:r w:rsidR="00B45577">
        <w:rPr>
          <w:bCs/>
          <w:sz w:val="24"/>
        </w:rPr>
        <w:t xml:space="preserve"> comme des notifications automatiques lors de nouveaux appels d’offres dans leur domaine</w:t>
      </w:r>
    </w:p>
    <w:p w14:paraId="124E0BCC" w14:textId="47C2FD66" w:rsidR="008B3687" w:rsidRPr="007920A9" w:rsidRDefault="008B3687" w:rsidP="00026C12">
      <w:pPr>
        <w:jc w:val="both"/>
        <w:rPr>
          <w:b/>
          <w:bCs/>
          <w:sz w:val="24"/>
        </w:rPr>
      </w:pPr>
      <w:r w:rsidRPr="007920A9">
        <w:rPr>
          <w:b/>
          <w:bCs/>
          <w:sz w:val="24"/>
        </w:rPr>
        <w:t>6.4 Existe-t-il une économie liée aux applications informatiques dans votre pays / localité ? (Importance: Moyenne/ Élevée)</w:t>
      </w:r>
      <w:r w:rsidR="00AC3700" w:rsidRPr="007920A9">
        <w:rPr>
          <w:b/>
          <w:bCs/>
          <w:sz w:val="24"/>
        </w:rPr>
        <w:t xml:space="preserve"> </w:t>
      </w:r>
      <w:r w:rsidR="00BE1D2B">
        <w:rPr>
          <w:b/>
          <w:bCs/>
          <w:sz w:val="24"/>
          <w:highlight w:val="yellow"/>
        </w:rPr>
        <w:t>JAUNE</w:t>
      </w:r>
      <w:r w:rsidR="00BE1D2B">
        <w:rPr>
          <w:b/>
          <w:bCs/>
          <w:sz w:val="24"/>
        </w:rPr>
        <w:t xml:space="preserve"> </w:t>
      </w:r>
    </w:p>
    <w:p w14:paraId="3C9F613C" w14:textId="1A7573DA" w:rsidR="00B45577" w:rsidRDefault="00B45577" w:rsidP="00D5699E">
      <w:pPr>
        <w:pStyle w:val="Paragraphedeliste"/>
        <w:numPr>
          <w:ilvl w:val="0"/>
          <w:numId w:val="101"/>
        </w:numPr>
        <w:jc w:val="both"/>
        <w:rPr>
          <w:bCs/>
          <w:sz w:val="24"/>
        </w:rPr>
      </w:pPr>
      <w:r w:rsidRPr="00B45577">
        <w:rPr>
          <w:bCs/>
          <w:sz w:val="24"/>
        </w:rPr>
        <w:t>L’expertise de la conception d’applications mobiles est développée en Tunisie. La plupart des compétiteurs lors des hackathon propose des applications mobiles</w:t>
      </w:r>
    </w:p>
    <w:p w14:paraId="26EA2DB1" w14:textId="4699DE95" w:rsidR="00E02AB8" w:rsidRDefault="00E02AB8" w:rsidP="00D5699E">
      <w:pPr>
        <w:pStyle w:val="Paragraphedeliste"/>
        <w:numPr>
          <w:ilvl w:val="0"/>
          <w:numId w:val="101"/>
        </w:numPr>
        <w:jc w:val="both"/>
        <w:rPr>
          <w:bCs/>
          <w:sz w:val="24"/>
        </w:rPr>
      </w:pPr>
      <w:r>
        <w:rPr>
          <w:bCs/>
          <w:sz w:val="24"/>
        </w:rPr>
        <w:t>De nombreuses applications mobiles sont développées par les entrepreneurs</w:t>
      </w:r>
    </w:p>
    <w:p w14:paraId="17FCCA61" w14:textId="09446688" w:rsidR="008D165C" w:rsidRPr="00B45577" w:rsidRDefault="008D165C" w:rsidP="00D5699E">
      <w:pPr>
        <w:pStyle w:val="Paragraphedeliste"/>
        <w:numPr>
          <w:ilvl w:val="0"/>
          <w:numId w:val="101"/>
        </w:numPr>
        <w:jc w:val="both"/>
        <w:rPr>
          <w:bCs/>
          <w:sz w:val="24"/>
        </w:rPr>
      </w:pPr>
      <w:r>
        <w:rPr>
          <w:bCs/>
          <w:sz w:val="24"/>
        </w:rPr>
        <w:t>Le taux de pénétration du smartphone est relativement élevé à 55.3% en 2016</w:t>
      </w:r>
    </w:p>
    <w:p w14:paraId="75F3DD91" w14:textId="3BB5DF66" w:rsidR="00B45577" w:rsidRDefault="00B45577" w:rsidP="00D5699E">
      <w:pPr>
        <w:pStyle w:val="Paragraphedeliste"/>
        <w:numPr>
          <w:ilvl w:val="0"/>
          <w:numId w:val="99"/>
        </w:numPr>
        <w:jc w:val="both"/>
        <w:rPr>
          <w:bCs/>
          <w:sz w:val="24"/>
        </w:rPr>
      </w:pPr>
      <w:r w:rsidRPr="00E02AB8">
        <w:rPr>
          <w:bCs/>
          <w:sz w:val="24"/>
        </w:rPr>
        <w:t xml:space="preserve">L’achat sur </w:t>
      </w:r>
      <w:r w:rsidR="002B413B" w:rsidRPr="00E02AB8">
        <w:rPr>
          <w:bCs/>
          <w:sz w:val="24"/>
        </w:rPr>
        <w:t>le</w:t>
      </w:r>
      <w:r w:rsidR="002B413B">
        <w:rPr>
          <w:bCs/>
          <w:sz w:val="24"/>
        </w:rPr>
        <w:t>s</w:t>
      </w:r>
      <w:r w:rsidR="002B413B" w:rsidRPr="00E02AB8">
        <w:rPr>
          <w:bCs/>
          <w:sz w:val="24"/>
        </w:rPr>
        <w:t xml:space="preserve"> magasin</w:t>
      </w:r>
      <w:r w:rsidR="002B413B">
        <w:rPr>
          <w:bCs/>
          <w:sz w:val="24"/>
        </w:rPr>
        <w:t>s</w:t>
      </w:r>
      <w:r w:rsidRPr="00E02AB8">
        <w:rPr>
          <w:bCs/>
          <w:sz w:val="24"/>
        </w:rPr>
        <w:t xml:space="preserve"> d’application</w:t>
      </w:r>
      <w:r w:rsidR="002B413B">
        <w:rPr>
          <w:bCs/>
          <w:sz w:val="24"/>
        </w:rPr>
        <w:t xml:space="preserve">s (iStore, Google </w:t>
      </w:r>
      <w:r w:rsidR="00CD086F">
        <w:rPr>
          <w:bCs/>
          <w:sz w:val="24"/>
        </w:rPr>
        <w:t>Play</w:t>
      </w:r>
      <w:r w:rsidR="002B413B">
        <w:rPr>
          <w:bCs/>
          <w:sz w:val="24"/>
        </w:rPr>
        <w:t xml:space="preserve">, etc.) </w:t>
      </w:r>
      <w:r w:rsidRPr="00E02AB8">
        <w:rPr>
          <w:bCs/>
          <w:sz w:val="24"/>
        </w:rPr>
        <w:t xml:space="preserve"> est difficile du fait du grand nombre (plus de</w:t>
      </w:r>
      <w:r w:rsidR="00E02AB8">
        <w:rPr>
          <w:bCs/>
          <w:sz w:val="24"/>
        </w:rPr>
        <w:t xml:space="preserve"> </w:t>
      </w:r>
      <w:r w:rsidRPr="00E02AB8">
        <w:rPr>
          <w:bCs/>
          <w:sz w:val="24"/>
        </w:rPr>
        <w:t xml:space="preserve">90%) d’abonnement prépayés </w:t>
      </w:r>
      <w:r w:rsidR="00CD086F">
        <w:rPr>
          <w:bCs/>
          <w:sz w:val="24"/>
        </w:rPr>
        <w:t xml:space="preserve">(pas de paiement possible sur l’abonnement) </w:t>
      </w:r>
      <w:r w:rsidRPr="00E02AB8">
        <w:rPr>
          <w:bCs/>
          <w:sz w:val="24"/>
        </w:rPr>
        <w:t>et le faible taux de bancarisation</w:t>
      </w:r>
      <w:r w:rsidR="00E02AB8" w:rsidRPr="00E02AB8">
        <w:rPr>
          <w:bCs/>
          <w:sz w:val="24"/>
        </w:rPr>
        <w:t xml:space="preserve"> (voir le Rapport d’inclusion financière en Tunisie - 2017</w:t>
      </w:r>
      <w:r w:rsidR="00E02AB8" w:rsidRPr="00E02AB8">
        <w:rPr>
          <w:rStyle w:val="Appelnotedebasdep"/>
          <w:bCs/>
          <w:sz w:val="24"/>
        </w:rPr>
        <w:footnoteReference w:id="97"/>
      </w:r>
      <w:r w:rsidR="00E02AB8">
        <w:rPr>
          <w:bCs/>
          <w:sz w:val="24"/>
        </w:rPr>
        <w:t>)</w:t>
      </w:r>
      <w:r w:rsidR="00CD086F">
        <w:rPr>
          <w:bCs/>
          <w:sz w:val="24"/>
        </w:rPr>
        <w:t>. De plus les paiements en Euro et Dollars ne sont pas possibles avec une carte de crédit tunisienne et nécessitent l’utilisation d’une carte international technologique (CTI</w:t>
      </w:r>
      <w:r w:rsidR="00CD086F">
        <w:rPr>
          <w:rStyle w:val="Appelnotedebasdep"/>
          <w:bCs/>
          <w:sz w:val="24"/>
        </w:rPr>
        <w:footnoteReference w:id="98"/>
      </w:r>
      <w:r w:rsidR="00CD086F">
        <w:rPr>
          <w:bCs/>
          <w:sz w:val="24"/>
        </w:rPr>
        <w:t xml:space="preserve">)  </w:t>
      </w:r>
    </w:p>
    <w:p w14:paraId="1DA8696A" w14:textId="392BC69A" w:rsidR="00F96C70" w:rsidRDefault="00F96C70" w:rsidP="00F96C70">
      <w:pPr>
        <w:pStyle w:val="Paragraphedeliste"/>
        <w:numPr>
          <w:ilvl w:val="0"/>
          <w:numId w:val="99"/>
        </w:numPr>
        <w:jc w:val="both"/>
        <w:rPr>
          <w:bCs/>
          <w:sz w:val="24"/>
        </w:rPr>
      </w:pPr>
      <w:r>
        <w:rPr>
          <w:bCs/>
          <w:sz w:val="24"/>
        </w:rPr>
        <w:t>L</w:t>
      </w:r>
      <w:r w:rsidRPr="00F96C70">
        <w:rPr>
          <w:bCs/>
          <w:sz w:val="24"/>
        </w:rPr>
        <w:t>e principal frein pour les développeurs d'applications est l'incapacité en Tunisie à pouvoir offrir un service en ligne et à être rémunéré par un paiement électronique (via une vente en ligne).</w:t>
      </w:r>
      <w:r>
        <w:rPr>
          <w:bCs/>
          <w:sz w:val="24"/>
        </w:rPr>
        <w:t xml:space="preserve"> L’absence d’option de paiement est un frein pour les développeurs</w:t>
      </w:r>
      <w:r w:rsidR="00CD086F">
        <w:rPr>
          <w:bCs/>
          <w:sz w:val="24"/>
        </w:rPr>
        <w:t>, les cartes CTI permettant l’émission mais pas l’encaissement de paiements.</w:t>
      </w:r>
    </w:p>
    <w:p w14:paraId="643FC3D2" w14:textId="632FC896" w:rsidR="00E02AB8" w:rsidRPr="00E02AB8" w:rsidRDefault="00E02AB8" w:rsidP="00D5699E">
      <w:pPr>
        <w:pStyle w:val="Paragraphedeliste"/>
        <w:numPr>
          <w:ilvl w:val="0"/>
          <w:numId w:val="99"/>
        </w:numPr>
        <w:jc w:val="both"/>
        <w:rPr>
          <w:bCs/>
          <w:sz w:val="24"/>
        </w:rPr>
      </w:pPr>
      <w:r>
        <w:rPr>
          <w:bCs/>
          <w:sz w:val="24"/>
        </w:rPr>
        <w:t xml:space="preserve">Il n’a pas été possible d’identifier de société dont le revenu est </w:t>
      </w:r>
      <w:r w:rsidR="002B413B">
        <w:rPr>
          <w:bCs/>
          <w:sz w:val="24"/>
        </w:rPr>
        <w:t>basé</w:t>
      </w:r>
      <w:r>
        <w:rPr>
          <w:bCs/>
          <w:sz w:val="24"/>
        </w:rPr>
        <w:t xml:space="preserve"> uniquement sur une ou plusieurs applications mobiles</w:t>
      </w:r>
    </w:p>
    <w:p w14:paraId="0A19FA2E" w14:textId="4CFD2432" w:rsidR="008B3687" w:rsidRPr="007920A9" w:rsidRDefault="008B3687" w:rsidP="00026C12">
      <w:pPr>
        <w:jc w:val="both"/>
        <w:rPr>
          <w:b/>
          <w:bCs/>
          <w:sz w:val="24"/>
        </w:rPr>
      </w:pPr>
      <w:r w:rsidRPr="007920A9">
        <w:rPr>
          <w:b/>
          <w:bCs/>
          <w:sz w:val="24"/>
        </w:rPr>
        <w:t>6.5 Y a-t-il une communauté académique ou de recherche qui à la fois forme les personnes ayant des compétences techniques et qui possèdent des membres qualifiés pour l'analyse des données? (Importance: Moyenne)</w:t>
      </w:r>
      <w:r w:rsidR="00C224CF">
        <w:rPr>
          <w:b/>
          <w:bCs/>
          <w:sz w:val="24"/>
        </w:rPr>
        <w:t xml:space="preserve"> </w:t>
      </w:r>
      <w:r w:rsidR="00C224CF" w:rsidRPr="00C224CF">
        <w:rPr>
          <w:b/>
          <w:bCs/>
          <w:sz w:val="24"/>
          <w:highlight w:val="green"/>
        </w:rPr>
        <w:t>VERT</w:t>
      </w:r>
      <w:r w:rsidR="00BE1D2B">
        <w:rPr>
          <w:b/>
          <w:bCs/>
          <w:sz w:val="24"/>
        </w:rPr>
        <w:t xml:space="preserve"> </w:t>
      </w:r>
    </w:p>
    <w:p w14:paraId="78131D70" w14:textId="4B48199B" w:rsidR="00921179" w:rsidRPr="003F0FE0" w:rsidRDefault="00921179" w:rsidP="001B6DD5">
      <w:pPr>
        <w:pStyle w:val="Paragraphedeliste"/>
        <w:numPr>
          <w:ilvl w:val="0"/>
          <w:numId w:val="42"/>
        </w:numPr>
        <w:spacing w:after="160" w:line="259" w:lineRule="auto"/>
        <w:jc w:val="both"/>
        <w:rPr>
          <w:sz w:val="24"/>
        </w:rPr>
      </w:pPr>
      <w:r>
        <w:rPr>
          <w:sz w:val="24"/>
        </w:rPr>
        <w:t xml:space="preserve">Université virtuelle de Tunis développe un partenariat avec IBM sur un </w:t>
      </w:r>
      <w:r w:rsidR="00CD086F">
        <w:rPr>
          <w:sz w:val="24"/>
        </w:rPr>
        <w:t xml:space="preserve">cursus </w:t>
      </w:r>
      <w:r>
        <w:rPr>
          <w:sz w:val="24"/>
        </w:rPr>
        <w:t>lié à la gestion de donnée</w:t>
      </w:r>
      <w:r>
        <w:rPr>
          <w:rStyle w:val="Appelnotedebasdep"/>
          <w:sz w:val="24"/>
        </w:rPr>
        <w:footnoteReference w:id="99"/>
      </w:r>
      <w:r>
        <w:rPr>
          <w:sz w:val="24"/>
        </w:rPr>
        <w:t xml:space="preserve"> </w:t>
      </w:r>
    </w:p>
    <w:p w14:paraId="0C1A73A4" w14:textId="4F33889B" w:rsidR="006E4BBF" w:rsidRPr="00E02AB8" w:rsidRDefault="003F0FE0" w:rsidP="001B6DD5">
      <w:pPr>
        <w:pStyle w:val="Paragraphedeliste"/>
        <w:numPr>
          <w:ilvl w:val="0"/>
          <w:numId w:val="42"/>
        </w:numPr>
        <w:spacing w:after="160" w:line="259" w:lineRule="auto"/>
        <w:jc w:val="both"/>
        <w:rPr>
          <w:sz w:val="24"/>
        </w:rPr>
      </w:pPr>
      <w:r>
        <w:rPr>
          <w:rFonts w:cstheme="minorHAnsi"/>
          <w:sz w:val="24"/>
        </w:rPr>
        <w:t xml:space="preserve">L’Ecole Nationale d’administration </w:t>
      </w:r>
      <w:r w:rsidR="00E02AB8">
        <w:rPr>
          <w:rFonts w:cstheme="minorHAnsi"/>
          <w:sz w:val="24"/>
        </w:rPr>
        <w:t xml:space="preserve">(ENA) </w:t>
      </w:r>
      <w:r>
        <w:rPr>
          <w:rFonts w:cstheme="minorHAnsi"/>
          <w:sz w:val="24"/>
        </w:rPr>
        <w:t>a mis en place l</w:t>
      </w:r>
      <w:r w:rsidRPr="003F0FE0">
        <w:rPr>
          <w:rFonts w:cstheme="minorHAnsi"/>
          <w:sz w:val="24"/>
        </w:rPr>
        <w:t>'Académie Internationale de la Bonne Gouvernance</w:t>
      </w:r>
      <w:r>
        <w:rPr>
          <w:rStyle w:val="Appelnotedebasdep"/>
          <w:rFonts w:cstheme="minorHAnsi"/>
          <w:sz w:val="24"/>
        </w:rPr>
        <w:footnoteReference w:id="100"/>
      </w:r>
      <w:r>
        <w:rPr>
          <w:rFonts w:cstheme="minorHAnsi"/>
          <w:sz w:val="24"/>
        </w:rPr>
        <w:t xml:space="preserve"> financée par GIZ</w:t>
      </w:r>
      <w:r w:rsidR="00E02AB8">
        <w:rPr>
          <w:rFonts w:cstheme="minorHAnsi"/>
          <w:sz w:val="24"/>
        </w:rPr>
        <w:t xml:space="preserve"> et qui contient un module sur la gouvernance ouverte. L’ENA possède également un </w:t>
      </w:r>
      <w:r w:rsidR="00E02AB8" w:rsidRPr="00E02AB8">
        <w:rPr>
          <w:rFonts w:cstheme="minorHAnsi"/>
          <w:sz w:val="24"/>
        </w:rPr>
        <w:t>Institut de leadership administratif</w:t>
      </w:r>
      <w:r w:rsidR="00E02AB8">
        <w:rPr>
          <w:rFonts w:cstheme="minorHAnsi"/>
          <w:sz w:val="24"/>
        </w:rPr>
        <w:t xml:space="preserve"> en charge de former les hauts cadres de l’administration. L’UAE a </w:t>
      </w:r>
      <w:r w:rsidR="00CD086F">
        <w:rPr>
          <w:rFonts w:cstheme="minorHAnsi"/>
          <w:sz w:val="24"/>
        </w:rPr>
        <w:t>assuré une séance de formation sur l’Open Data pour la promotion 2017</w:t>
      </w:r>
      <w:r w:rsidR="00E02AB8">
        <w:rPr>
          <w:rFonts w:cstheme="minorHAnsi"/>
          <w:sz w:val="24"/>
        </w:rPr>
        <w:t xml:space="preserve"> dans ce programme.</w:t>
      </w:r>
    </w:p>
    <w:p w14:paraId="1C9112E7" w14:textId="057E13EE" w:rsidR="00E02AB8" w:rsidRDefault="00E02AB8" w:rsidP="001B6DD5">
      <w:pPr>
        <w:pStyle w:val="Paragraphedeliste"/>
        <w:numPr>
          <w:ilvl w:val="0"/>
          <w:numId w:val="42"/>
        </w:numPr>
        <w:spacing w:after="160" w:line="259" w:lineRule="auto"/>
        <w:jc w:val="both"/>
        <w:rPr>
          <w:sz w:val="24"/>
        </w:rPr>
      </w:pPr>
      <w:r>
        <w:rPr>
          <w:sz w:val="24"/>
        </w:rPr>
        <w:t>L’INSAT (</w:t>
      </w:r>
      <w:r w:rsidRPr="00E02AB8">
        <w:rPr>
          <w:sz w:val="24"/>
        </w:rPr>
        <w:t xml:space="preserve">Institut National des Sciences Appliquées et de Technologie </w:t>
      </w:r>
      <w:r>
        <w:rPr>
          <w:sz w:val="24"/>
        </w:rPr>
        <w:t>) « </w:t>
      </w:r>
      <w:r w:rsidRPr="00E02AB8">
        <w:rPr>
          <w:sz w:val="24"/>
        </w:rPr>
        <w:t>dispense un enseignement supérieur ayant pour objectif la formation de cadres qualifiés et de cadres hautement qualifiés dans les domaines de l'ingénierie et de la technologie pour les secteurs publics et privés de la vie économique et de la recherche</w:t>
      </w:r>
      <w:r>
        <w:rPr>
          <w:sz w:val="24"/>
        </w:rPr>
        <w:t xml:space="preserve"> ». La plupart des hackathons organisés intègre généralement un ou plusieurs enseignants de l’INSAT </w:t>
      </w:r>
    </w:p>
    <w:p w14:paraId="50CF338D" w14:textId="00D14E7F" w:rsidR="00C224CF" w:rsidRPr="006E4BBF" w:rsidRDefault="00C224CF" w:rsidP="001B6DD5">
      <w:pPr>
        <w:pStyle w:val="Paragraphedeliste"/>
        <w:numPr>
          <w:ilvl w:val="0"/>
          <w:numId w:val="42"/>
        </w:numPr>
        <w:spacing w:after="160" w:line="259" w:lineRule="auto"/>
        <w:jc w:val="both"/>
        <w:rPr>
          <w:sz w:val="24"/>
        </w:rPr>
      </w:pPr>
      <w:r>
        <w:rPr>
          <w:sz w:val="24"/>
        </w:rPr>
        <w:t>La Tunisie forme chaque année plus de 40000 étudiants dans les filière</w:t>
      </w:r>
      <w:r w:rsidR="00CD086F">
        <w:rPr>
          <w:sz w:val="24"/>
        </w:rPr>
        <w:t>s</w:t>
      </w:r>
      <w:r>
        <w:rPr>
          <w:sz w:val="24"/>
        </w:rPr>
        <w:t xml:space="preserve"> TIC (14.5% des étudiants) et 10000 étudiants sortent </w:t>
      </w:r>
      <w:r w:rsidR="008D165C">
        <w:rPr>
          <w:sz w:val="24"/>
        </w:rPr>
        <w:t>diplômés</w:t>
      </w:r>
      <w:r>
        <w:rPr>
          <w:sz w:val="24"/>
        </w:rPr>
        <w:t xml:space="preserve"> (dont plus de 40% ayant bac+5 ou plus)</w:t>
      </w:r>
    </w:p>
    <w:p w14:paraId="309B2409" w14:textId="3A7F12AB" w:rsidR="00AC3700" w:rsidRPr="00563E19" w:rsidRDefault="00AC3700" w:rsidP="00563E19">
      <w:pPr>
        <w:rPr>
          <w:b/>
          <w:iCs/>
          <w:color w:val="7F7F7F" w:themeColor="text1" w:themeTint="80"/>
        </w:rPr>
      </w:pPr>
      <w:r w:rsidRPr="00563E19">
        <w:rPr>
          <w:rStyle w:val="Emphaseple"/>
          <w:color w:val="auto"/>
        </w:rPr>
        <w:t xml:space="preserve">Evaluation de </w:t>
      </w:r>
      <w:r w:rsidR="00026C12" w:rsidRPr="00563E19">
        <w:rPr>
          <w:rStyle w:val="Emphaseple"/>
          <w:color w:val="auto"/>
        </w:rPr>
        <w:t>l’ENGAGEMENT</w:t>
      </w:r>
      <w:r w:rsidRPr="00563E19">
        <w:rPr>
          <w:rStyle w:val="Emphaseple"/>
          <w:color w:val="auto"/>
        </w:rPr>
        <w:t xml:space="preserve"> CITOYEN ET CAPACITES CONCERNANT LES DONNEES PUBLIQUES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701"/>
        <w:gridCol w:w="1276"/>
        <w:gridCol w:w="4565"/>
      </w:tblGrid>
      <w:tr w:rsidR="00026C12" w:rsidRPr="007920A9" w14:paraId="6E2E4751" w14:textId="77777777" w:rsidTr="008D165C">
        <w:trPr>
          <w:cantSplit/>
          <w:trHeight w:val="305"/>
          <w:tblHeader/>
        </w:trPr>
        <w:tc>
          <w:tcPr>
            <w:tcW w:w="1951" w:type="dxa"/>
            <w:shd w:val="clear" w:color="auto" w:fill="D9D9D9" w:themeFill="background1" w:themeFillShade="D9"/>
            <w:vAlign w:val="center"/>
          </w:tcPr>
          <w:p w14:paraId="4AC24A1B" w14:textId="77777777" w:rsidR="00AC3700" w:rsidRPr="007920A9" w:rsidRDefault="00AC3700" w:rsidP="00026C12">
            <w:pPr>
              <w:spacing w:after="0"/>
              <w:jc w:val="both"/>
              <w:rPr>
                <w:b/>
              </w:rPr>
            </w:pPr>
            <w:r w:rsidRPr="007920A9">
              <w:rPr>
                <w:b/>
              </w:rPr>
              <w:t>Domaine</w:t>
            </w:r>
          </w:p>
        </w:tc>
        <w:tc>
          <w:tcPr>
            <w:tcW w:w="1701" w:type="dxa"/>
            <w:shd w:val="clear" w:color="auto" w:fill="D9D9D9" w:themeFill="background1" w:themeFillShade="D9"/>
            <w:vAlign w:val="center"/>
          </w:tcPr>
          <w:p w14:paraId="1AA1C9AC" w14:textId="77777777" w:rsidR="00AC3700" w:rsidRPr="007920A9" w:rsidRDefault="00AC3700" w:rsidP="00026C12">
            <w:pPr>
              <w:spacing w:after="0"/>
              <w:jc w:val="both"/>
              <w:rPr>
                <w:b/>
              </w:rPr>
            </w:pPr>
            <w:r w:rsidRPr="007920A9">
              <w:rPr>
                <w:b/>
              </w:rPr>
              <w:t>Importance</w:t>
            </w:r>
          </w:p>
        </w:tc>
        <w:tc>
          <w:tcPr>
            <w:tcW w:w="1276" w:type="dxa"/>
            <w:shd w:val="clear" w:color="auto" w:fill="D9D9D9" w:themeFill="background1" w:themeFillShade="D9"/>
            <w:vAlign w:val="center"/>
          </w:tcPr>
          <w:p w14:paraId="4BC2997C" w14:textId="77777777" w:rsidR="00AC3700" w:rsidRPr="007920A9" w:rsidRDefault="00AC3700" w:rsidP="00026C12">
            <w:pPr>
              <w:spacing w:after="0"/>
              <w:jc w:val="both"/>
              <w:rPr>
                <w:b/>
              </w:rPr>
            </w:pPr>
            <w:r w:rsidRPr="007920A9">
              <w:rPr>
                <w:b/>
              </w:rPr>
              <w:t>Evaluation</w:t>
            </w:r>
          </w:p>
        </w:tc>
        <w:tc>
          <w:tcPr>
            <w:tcW w:w="4565" w:type="dxa"/>
            <w:shd w:val="clear" w:color="auto" w:fill="D9D9D9" w:themeFill="background1" w:themeFillShade="D9"/>
            <w:vAlign w:val="center"/>
          </w:tcPr>
          <w:p w14:paraId="03870743" w14:textId="77777777" w:rsidR="00AC3700" w:rsidRPr="007920A9" w:rsidRDefault="00AC3700" w:rsidP="00026C12">
            <w:pPr>
              <w:spacing w:after="0"/>
              <w:jc w:val="both"/>
              <w:rPr>
                <w:b/>
              </w:rPr>
            </w:pPr>
            <w:r w:rsidRPr="007920A9">
              <w:rPr>
                <w:b/>
              </w:rPr>
              <w:t>Commentaires</w:t>
            </w:r>
          </w:p>
        </w:tc>
      </w:tr>
      <w:tr w:rsidR="00026C12" w:rsidRPr="007920A9" w14:paraId="4B100CFC" w14:textId="77777777" w:rsidTr="008D165C">
        <w:tc>
          <w:tcPr>
            <w:tcW w:w="1951" w:type="dxa"/>
            <w:vAlign w:val="center"/>
          </w:tcPr>
          <w:p w14:paraId="0072CE30" w14:textId="77777777" w:rsidR="00AC3700" w:rsidRPr="007920A9" w:rsidRDefault="00AC3700" w:rsidP="00C66790">
            <w:pPr>
              <w:spacing w:after="0"/>
              <w:rPr>
                <w:b/>
              </w:rPr>
            </w:pPr>
            <w:r w:rsidRPr="007920A9">
              <w:rPr>
                <w:b/>
              </w:rPr>
              <w:t>Existence d’infomédiaire</w:t>
            </w:r>
          </w:p>
        </w:tc>
        <w:tc>
          <w:tcPr>
            <w:tcW w:w="1701" w:type="dxa"/>
            <w:vAlign w:val="center"/>
          </w:tcPr>
          <w:p w14:paraId="4F5CC04F" w14:textId="77777777" w:rsidR="00AC3700" w:rsidRPr="007920A9" w:rsidRDefault="00AC3700" w:rsidP="00026C12">
            <w:pPr>
              <w:spacing w:after="0"/>
              <w:jc w:val="both"/>
              <w:rPr>
                <w:b/>
              </w:rPr>
            </w:pPr>
            <w:r w:rsidRPr="007920A9">
              <w:rPr>
                <w:b/>
                <w:bCs/>
              </w:rPr>
              <w:t>Élevée</w:t>
            </w:r>
          </w:p>
        </w:tc>
        <w:tc>
          <w:tcPr>
            <w:tcW w:w="1276" w:type="dxa"/>
            <w:shd w:val="clear" w:color="auto" w:fill="auto"/>
            <w:vAlign w:val="center"/>
          </w:tcPr>
          <w:p w14:paraId="344A6B5F" w14:textId="5FC229CE" w:rsidR="00AC3700" w:rsidRPr="007920A9" w:rsidRDefault="00BE1D2B" w:rsidP="00026C12">
            <w:pPr>
              <w:spacing w:after="0"/>
              <w:jc w:val="both"/>
              <w:rPr>
                <w:highlight w:val="lightGray"/>
              </w:rPr>
            </w:pPr>
            <w:r>
              <w:rPr>
                <w:b/>
                <w:bCs/>
                <w:sz w:val="24"/>
                <w:highlight w:val="yellow"/>
              </w:rPr>
              <w:t>JAUNE</w:t>
            </w:r>
            <w:r>
              <w:rPr>
                <w:b/>
                <w:bCs/>
                <w:sz w:val="24"/>
              </w:rPr>
              <w:t xml:space="preserve"> </w:t>
            </w:r>
          </w:p>
        </w:tc>
        <w:tc>
          <w:tcPr>
            <w:tcW w:w="4565" w:type="dxa"/>
            <w:vAlign w:val="center"/>
          </w:tcPr>
          <w:p w14:paraId="7E179F2C" w14:textId="62DC0A25" w:rsidR="00AC3700" w:rsidRDefault="00E41B13" w:rsidP="00A52A88">
            <w:pPr>
              <w:spacing w:after="0" w:line="240" w:lineRule="auto"/>
              <w:jc w:val="both"/>
            </w:pPr>
            <w:r>
              <w:t xml:space="preserve">Il existe quelques organisations de la société civile réutilisant les </w:t>
            </w:r>
            <w:r w:rsidR="009352D9">
              <w:t xml:space="preserve">données </w:t>
            </w:r>
            <w:r w:rsidR="00F11E50">
              <w:t xml:space="preserve">gouvernementales </w:t>
            </w:r>
            <w:r>
              <w:t>pour les rendre accessible</w:t>
            </w:r>
            <w:r w:rsidR="00733310">
              <w:t>s</w:t>
            </w:r>
            <w:r>
              <w:t>, mais le nombre de réutilisation</w:t>
            </w:r>
            <w:r w:rsidR="00733310">
              <w:t>s</w:t>
            </w:r>
            <w:r>
              <w:t xml:space="preserve"> semble faible.</w:t>
            </w:r>
          </w:p>
          <w:p w14:paraId="2605E432" w14:textId="4B6399E6" w:rsidR="00E41B13" w:rsidRPr="007920A9" w:rsidRDefault="00E41B13" w:rsidP="00A52A88">
            <w:pPr>
              <w:spacing w:after="0" w:line="240" w:lineRule="auto"/>
              <w:jc w:val="both"/>
            </w:pPr>
            <w:r>
              <w:t>Il y a eu récemment quelques initiatives de formation</w:t>
            </w:r>
            <w:r w:rsidR="00CD086F">
              <w:t>s</w:t>
            </w:r>
            <w:r>
              <w:t xml:space="preserve"> de journalistes au data-journalisme, mais l’impact n’est pas quantifiable.</w:t>
            </w:r>
          </w:p>
        </w:tc>
      </w:tr>
      <w:tr w:rsidR="00026C12" w:rsidRPr="007920A9" w14:paraId="4FF33ABD" w14:textId="77777777" w:rsidTr="008D165C">
        <w:tc>
          <w:tcPr>
            <w:tcW w:w="1951" w:type="dxa"/>
            <w:vAlign w:val="center"/>
          </w:tcPr>
          <w:p w14:paraId="41CEE994" w14:textId="7D7D42D5" w:rsidR="00AC3700" w:rsidRPr="007920A9" w:rsidRDefault="00AC3700" w:rsidP="00C66790">
            <w:pPr>
              <w:spacing w:after="0"/>
              <w:rPr>
                <w:b/>
              </w:rPr>
            </w:pPr>
            <w:r w:rsidRPr="007920A9">
              <w:rPr>
                <w:b/>
              </w:rPr>
              <w:t xml:space="preserve">Activités en cours pour la </w:t>
            </w:r>
            <w:r w:rsidR="00E41B13">
              <w:rPr>
                <w:b/>
              </w:rPr>
              <w:t>promotion de la réutilisation de données publiques</w:t>
            </w:r>
          </w:p>
        </w:tc>
        <w:tc>
          <w:tcPr>
            <w:tcW w:w="1701" w:type="dxa"/>
            <w:vAlign w:val="center"/>
          </w:tcPr>
          <w:p w14:paraId="39E397ED" w14:textId="77777777" w:rsidR="00AC3700" w:rsidRPr="007920A9" w:rsidRDefault="00AC3700" w:rsidP="00026C12">
            <w:pPr>
              <w:spacing w:after="0"/>
              <w:jc w:val="both"/>
              <w:rPr>
                <w:b/>
              </w:rPr>
            </w:pPr>
            <w:r w:rsidRPr="007920A9">
              <w:rPr>
                <w:b/>
                <w:bCs/>
              </w:rPr>
              <w:t>Élevée</w:t>
            </w:r>
          </w:p>
        </w:tc>
        <w:tc>
          <w:tcPr>
            <w:tcW w:w="1276" w:type="dxa"/>
            <w:tcBorders>
              <w:bottom w:val="single" w:sz="4" w:space="0" w:color="auto"/>
            </w:tcBorders>
            <w:shd w:val="clear" w:color="auto" w:fill="auto"/>
            <w:vAlign w:val="center"/>
          </w:tcPr>
          <w:p w14:paraId="6B482BAC" w14:textId="03C8D858" w:rsidR="00AC3700" w:rsidRPr="007920A9" w:rsidRDefault="00BE1D2B" w:rsidP="00026C12">
            <w:pPr>
              <w:spacing w:after="0"/>
              <w:jc w:val="both"/>
              <w:rPr>
                <w:highlight w:val="yellow"/>
              </w:rPr>
            </w:pPr>
            <w:r>
              <w:rPr>
                <w:b/>
                <w:bCs/>
                <w:sz w:val="24"/>
                <w:highlight w:val="yellow"/>
              </w:rPr>
              <w:t>JAUNE</w:t>
            </w:r>
            <w:r>
              <w:rPr>
                <w:b/>
                <w:bCs/>
                <w:sz w:val="24"/>
              </w:rPr>
              <w:t xml:space="preserve"> / </w:t>
            </w:r>
            <w:r w:rsidRPr="00BE1D2B">
              <w:rPr>
                <w:b/>
                <w:bCs/>
                <w:sz w:val="24"/>
                <w:highlight w:val="red"/>
              </w:rPr>
              <w:t>ROUGE</w:t>
            </w:r>
          </w:p>
        </w:tc>
        <w:tc>
          <w:tcPr>
            <w:tcW w:w="4565" w:type="dxa"/>
            <w:vAlign w:val="center"/>
          </w:tcPr>
          <w:p w14:paraId="4AC057C0" w14:textId="38284832" w:rsidR="00AC3700" w:rsidRPr="007920A9" w:rsidRDefault="00E41B13" w:rsidP="00A52A88">
            <w:pPr>
              <w:pStyle w:val="En-tte"/>
              <w:tabs>
                <w:tab w:val="clear" w:pos="4513"/>
                <w:tab w:val="clear" w:pos="9026"/>
              </w:tabs>
              <w:spacing w:before="0" w:after="0" w:line="240" w:lineRule="auto"/>
              <w:jc w:val="both"/>
              <w:rPr>
                <w:sz w:val="22"/>
                <w:szCs w:val="22"/>
                <w:lang w:val="fr-FR"/>
              </w:rPr>
            </w:pPr>
            <w:r>
              <w:rPr>
                <w:sz w:val="22"/>
                <w:szCs w:val="22"/>
                <w:lang w:val="fr-FR"/>
              </w:rPr>
              <w:t xml:space="preserve">Pas d’activité à l’initiative du Gouvernement sur la réutilisation des données. Quelques initiatives de la société civile, mais principalement pour de la sensibilisation et pas pour le développement de capacités. </w:t>
            </w:r>
          </w:p>
        </w:tc>
      </w:tr>
      <w:tr w:rsidR="00026C12" w:rsidRPr="007920A9" w14:paraId="3AFE9C9C" w14:textId="77777777" w:rsidTr="008D165C">
        <w:tc>
          <w:tcPr>
            <w:tcW w:w="1951" w:type="dxa"/>
            <w:vAlign w:val="center"/>
          </w:tcPr>
          <w:p w14:paraId="41214445" w14:textId="77777777" w:rsidR="00AC3700" w:rsidRPr="007920A9" w:rsidRDefault="00AC3700" w:rsidP="00C66790">
            <w:pPr>
              <w:spacing w:after="0"/>
              <w:rPr>
                <w:b/>
              </w:rPr>
            </w:pPr>
            <w:r w:rsidRPr="007920A9">
              <w:rPr>
                <w:b/>
              </w:rPr>
              <w:t>Utilisation des canaux digitaux par le Gouvernement</w:t>
            </w:r>
          </w:p>
        </w:tc>
        <w:tc>
          <w:tcPr>
            <w:tcW w:w="1701" w:type="dxa"/>
            <w:vAlign w:val="center"/>
          </w:tcPr>
          <w:p w14:paraId="3444DC37" w14:textId="77777777" w:rsidR="00AC3700" w:rsidRPr="007920A9" w:rsidRDefault="00AC3700" w:rsidP="00026C12">
            <w:pPr>
              <w:spacing w:after="0"/>
              <w:jc w:val="both"/>
              <w:rPr>
                <w:b/>
              </w:rPr>
            </w:pPr>
            <w:r w:rsidRPr="007920A9">
              <w:rPr>
                <w:b/>
              </w:rPr>
              <w:t>Moyenne</w:t>
            </w:r>
          </w:p>
        </w:tc>
        <w:tc>
          <w:tcPr>
            <w:tcW w:w="1276" w:type="dxa"/>
            <w:tcBorders>
              <w:bottom w:val="single" w:sz="4" w:space="0" w:color="auto"/>
            </w:tcBorders>
            <w:shd w:val="clear" w:color="auto" w:fill="auto"/>
            <w:vAlign w:val="center"/>
          </w:tcPr>
          <w:p w14:paraId="50C0F8F4" w14:textId="369B9599" w:rsidR="00AC3700" w:rsidRPr="007920A9" w:rsidRDefault="00BE1D2B" w:rsidP="00026C12">
            <w:pPr>
              <w:spacing w:after="0"/>
              <w:jc w:val="both"/>
              <w:rPr>
                <w:b/>
                <w:highlight w:val="yellow"/>
              </w:rPr>
            </w:pPr>
            <w:r>
              <w:rPr>
                <w:b/>
                <w:bCs/>
                <w:sz w:val="24"/>
                <w:highlight w:val="yellow"/>
              </w:rPr>
              <w:t>JAUNE</w:t>
            </w:r>
            <w:r>
              <w:rPr>
                <w:b/>
                <w:bCs/>
                <w:sz w:val="24"/>
              </w:rPr>
              <w:t xml:space="preserve"> / </w:t>
            </w:r>
            <w:r w:rsidRPr="00BE1D2B">
              <w:rPr>
                <w:b/>
                <w:bCs/>
                <w:sz w:val="24"/>
                <w:highlight w:val="red"/>
              </w:rPr>
              <w:t>ROUGE</w:t>
            </w:r>
          </w:p>
        </w:tc>
        <w:tc>
          <w:tcPr>
            <w:tcW w:w="4565" w:type="dxa"/>
            <w:vAlign w:val="center"/>
          </w:tcPr>
          <w:p w14:paraId="161B93B7" w14:textId="7C668206" w:rsidR="00AC3700" w:rsidRPr="007920A9" w:rsidRDefault="00C224CF" w:rsidP="00A52A88">
            <w:pPr>
              <w:spacing w:after="0" w:line="240" w:lineRule="auto"/>
              <w:jc w:val="both"/>
            </w:pPr>
            <w:r w:rsidRPr="00C224CF">
              <w:t>B</w:t>
            </w:r>
            <w:r w:rsidR="008D165C">
              <w:t>eaucoup de ministères ont</w:t>
            </w:r>
            <w:r w:rsidRPr="00C224CF">
              <w:t xml:space="preserve"> une présence sur Facebook mais il s’agit principalement d’une vitrine et pas d’interaction </w:t>
            </w:r>
            <w:r w:rsidR="00733310">
              <w:t>à</w:t>
            </w:r>
            <w:r w:rsidRPr="00C224CF">
              <w:t xml:space="preserve"> proprement dite, ni sur les autres réseaux sociaux. Suivant les </w:t>
            </w:r>
            <w:r w:rsidR="008D165C">
              <w:t xml:space="preserve">ministères le courrier électronique est un moyen de communication extérieur naturel </w:t>
            </w:r>
            <w:r w:rsidRPr="00C224CF">
              <w:t>m</w:t>
            </w:r>
            <w:r w:rsidR="008D165C">
              <w:t>a</w:t>
            </w:r>
            <w:r w:rsidRPr="00C224CF">
              <w:t>is de nombreuses demandes se font toujours sous format papier</w:t>
            </w:r>
          </w:p>
        </w:tc>
      </w:tr>
      <w:tr w:rsidR="00026C12" w:rsidRPr="007920A9" w14:paraId="111259C9" w14:textId="77777777" w:rsidTr="008D165C">
        <w:tc>
          <w:tcPr>
            <w:tcW w:w="1951" w:type="dxa"/>
            <w:tcBorders>
              <w:bottom w:val="single" w:sz="4" w:space="0" w:color="auto"/>
            </w:tcBorders>
            <w:vAlign w:val="center"/>
          </w:tcPr>
          <w:p w14:paraId="54CAF14D" w14:textId="77777777" w:rsidR="00AC3700" w:rsidRPr="007920A9" w:rsidRDefault="00AC3700" w:rsidP="00C66790">
            <w:pPr>
              <w:spacing w:after="0"/>
              <w:rPr>
                <w:b/>
              </w:rPr>
            </w:pPr>
            <w:r w:rsidRPr="007920A9">
              <w:rPr>
                <w:b/>
              </w:rPr>
              <w:t>Existence d’une économie dédiée aux applications</w:t>
            </w:r>
          </w:p>
        </w:tc>
        <w:tc>
          <w:tcPr>
            <w:tcW w:w="1701" w:type="dxa"/>
            <w:tcBorders>
              <w:bottom w:val="single" w:sz="4" w:space="0" w:color="auto"/>
            </w:tcBorders>
            <w:vAlign w:val="center"/>
          </w:tcPr>
          <w:p w14:paraId="0897EEA4" w14:textId="77777777" w:rsidR="00AC3700" w:rsidRPr="007920A9" w:rsidRDefault="00AC3700" w:rsidP="00026C12">
            <w:pPr>
              <w:spacing w:after="0"/>
              <w:jc w:val="both"/>
              <w:rPr>
                <w:b/>
              </w:rPr>
            </w:pPr>
            <w:r w:rsidRPr="007920A9">
              <w:rPr>
                <w:b/>
              </w:rPr>
              <w:t xml:space="preserve">Moyennement </w:t>
            </w:r>
            <w:r w:rsidRPr="007920A9">
              <w:rPr>
                <w:b/>
                <w:bCs/>
              </w:rPr>
              <w:t>Élevée</w:t>
            </w:r>
          </w:p>
        </w:tc>
        <w:tc>
          <w:tcPr>
            <w:tcW w:w="1276" w:type="dxa"/>
            <w:tcBorders>
              <w:bottom w:val="single" w:sz="4" w:space="0" w:color="auto"/>
            </w:tcBorders>
            <w:shd w:val="clear" w:color="auto" w:fill="auto"/>
            <w:vAlign w:val="center"/>
          </w:tcPr>
          <w:p w14:paraId="47AAD0FC" w14:textId="51F5E6E6" w:rsidR="00AC3700" w:rsidRPr="007920A9" w:rsidRDefault="00BE1D2B" w:rsidP="00026C12">
            <w:pPr>
              <w:spacing w:after="0"/>
              <w:jc w:val="both"/>
              <w:rPr>
                <w:highlight w:val="yellow"/>
              </w:rPr>
            </w:pPr>
            <w:r>
              <w:rPr>
                <w:b/>
                <w:bCs/>
                <w:sz w:val="24"/>
                <w:highlight w:val="yellow"/>
              </w:rPr>
              <w:t>JAUNE</w:t>
            </w:r>
            <w:r w:rsidR="00C224CF">
              <w:rPr>
                <w:b/>
                <w:bCs/>
                <w:sz w:val="24"/>
              </w:rPr>
              <w:t xml:space="preserve"> </w:t>
            </w:r>
          </w:p>
        </w:tc>
        <w:tc>
          <w:tcPr>
            <w:tcW w:w="4565" w:type="dxa"/>
            <w:vAlign w:val="center"/>
          </w:tcPr>
          <w:p w14:paraId="7F20315B" w14:textId="070C7FD3" w:rsidR="00AC3700" w:rsidRPr="007920A9" w:rsidRDefault="00C224CF" w:rsidP="00A52A88">
            <w:pPr>
              <w:spacing w:after="0" w:line="240" w:lineRule="auto"/>
              <w:jc w:val="both"/>
            </w:pPr>
            <w:r w:rsidRPr="008D165C">
              <w:t xml:space="preserve">Les jeunes développeurs sont très </w:t>
            </w:r>
            <w:r w:rsidR="002B413B" w:rsidRPr="008D165C">
              <w:t>sensibilisés</w:t>
            </w:r>
            <w:r w:rsidRPr="008D165C">
              <w:t xml:space="preserve"> aux applications mobiles smartphones et en développe</w:t>
            </w:r>
            <w:r w:rsidR="00733310">
              <w:t>nt un certain nombre</w:t>
            </w:r>
            <w:r w:rsidRPr="008D165C">
              <w:t xml:space="preserve">. Le taux de </w:t>
            </w:r>
            <w:r w:rsidR="008D165C" w:rsidRPr="008D165C">
              <w:t xml:space="preserve">pénétration du smartphone est relativement élevé. Toutefois, </w:t>
            </w:r>
            <w:r w:rsidR="00AA5FD4">
              <w:t>l’absence de modes de paiement à la fois pour les achats en euros et en dollars et pour la rétribution des développeurs est un frein majeur.</w:t>
            </w:r>
          </w:p>
        </w:tc>
      </w:tr>
      <w:tr w:rsidR="003F0FE0" w:rsidRPr="007920A9" w14:paraId="35338678" w14:textId="77777777" w:rsidTr="008D165C">
        <w:tc>
          <w:tcPr>
            <w:tcW w:w="1951" w:type="dxa"/>
            <w:tcBorders>
              <w:bottom w:val="single" w:sz="4" w:space="0" w:color="auto"/>
            </w:tcBorders>
            <w:vAlign w:val="center"/>
          </w:tcPr>
          <w:p w14:paraId="080B32E3" w14:textId="77777777" w:rsidR="003F0FE0" w:rsidRPr="007920A9" w:rsidRDefault="003F0FE0" w:rsidP="003F0FE0">
            <w:pPr>
              <w:spacing w:after="0"/>
              <w:rPr>
                <w:b/>
              </w:rPr>
            </w:pPr>
            <w:r w:rsidRPr="007920A9">
              <w:rPr>
                <w:b/>
              </w:rPr>
              <w:t>Cursus sur la gestion de données et les TIC</w:t>
            </w:r>
          </w:p>
        </w:tc>
        <w:tc>
          <w:tcPr>
            <w:tcW w:w="1701" w:type="dxa"/>
            <w:tcBorders>
              <w:bottom w:val="single" w:sz="4" w:space="0" w:color="auto"/>
            </w:tcBorders>
            <w:vAlign w:val="center"/>
          </w:tcPr>
          <w:p w14:paraId="30ABF127" w14:textId="77777777" w:rsidR="003F0FE0" w:rsidRPr="007920A9" w:rsidRDefault="003F0FE0" w:rsidP="003F0FE0">
            <w:pPr>
              <w:spacing w:after="0"/>
              <w:jc w:val="both"/>
              <w:rPr>
                <w:b/>
              </w:rPr>
            </w:pPr>
            <w:r w:rsidRPr="007920A9">
              <w:rPr>
                <w:b/>
              </w:rPr>
              <w:t>Moyenne</w:t>
            </w:r>
          </w:p>
        </w:tc>
        <w:tc>
          <w:tcPr>
            <w:tcW w:w="1276" w:type="dxa"/>
            <w:tcBorders>
              <w:bottom w:val="single" w:sz="4" w:space="0" w:color="auto"/>
            </w:tcBorders>
            <w:shd w:val="clear" w:color="auto" w:fill="auto"/>
            <w:vAlign w:val="center"/>
          </w:tcPr>
          <w:p w14:paraId="4F4F31F8" w14:textId="75FDB68A" w:rsidR="003F0FE0" w:rsidRPr="007920A9" w:rsidRDefault="00C224CF" w:rsidP="003F0FE0">
            <w:pPr>
              <w:spacing w:after="0"/>
              <w:jc w:val="both"/>
              <w:rPr>
                <w:highlight w:val="yellow"/>
              </w:rPr>
            </w:pPr>
            <w:r w:rsidRPr="00C224CF">
              <w:rPr>
                <w:b/>
                <w:bCs/>
                <w:sz w:val="24"/>
                <w:highlight w:val="green"/>
              </w:rPr>
              <w:t>VERT</w:t>
            </w:r>
            <w:r w:rsidR="00BE1D2B">
              <w:rPr>
                <w:b/>
                <w:bCs/>
                <w:sz w:val="24"/>
              </w:rPr>
              <w:t xml:space="preserve"> </w:t>
            </w:r>
          </w:p>
        </w:tc>
        <w:tc>
          <w:tcPr>
            <w:tcW w:w="4565" w:type="dxa"/>
            <w:vAlign w:val="center"/>
          </w:tcPr>
          <w:p w14:paraId="2C3CD7E7" w14:textId="05906925" w:rsidR="003F0FE0" w:rsidRPr="007920A9" w:rsidRDefault="008D165C" w:rsidP="003F0FE0">
            <w:pPr>
              <w:spacing w:after="0" w:line="240" w:lineRule="auto"/>
              <w:jc w:val="both"/>
            </w:pPr>
            <w:r w:rsidRPr="008D165C">
              <w:t xml:space="preserve">De nombreuses institutions fournissent des formations techniques ou des formations fonctionnelles pour les hauts cadres de l’administration. Si à ce jour il n’a pas été identifié de </w:t>
            </w:r>
            <w:r w:rsidR="00AA5FD4">
              <w:t>cursus</w:t>
            </w:r>
            <w:r w:rsidR="00AA5FD4" w:rsidRPr="008D165C">
              <w:t xml:space="preserve"> </w:t>
            </w:r>
            <w:r w:rsidRPr="008D165C">
              <w:t xml:space="preserve">dédié </w:t>
            </w:r>
            <w:r w:rsidR="002B413B" w:rsidRPr="008D165C">
              <w:t>à</w:t>
            </w:r>
            <w:r w:rsidRPr="008D165C">
              <w:t xml:space="preserve"> l’Open Data dans aucun des organismes, des modules sont organisés et toutes les compétences nécessaires disponibles</w:t>
            </w:r>
          </w:p>
        </w:tc>
      </w:tr>
      <w:tr w:rsidR="003F0FE0" w:rsidRPr="007920A9" w14:paraId="2BC95D5F" w14:textId="77777777" w:rsidTr="008D165C">
        <w:tc>
          <w:tcPr>
            <w:tcW w:w="1951" w:type="dxa"/>
            <w:shd w:val="clear" w:color="auto" w:fill="auto"/>
            <w:vAlign w:val="center"/>
          </w:tcPr>
          <w:p w14:paraId="14BA835C" w14:textId="77777777" w:rsidR="003F0FE0" w:rsidRPr="007920A9" w:rsidRDefault="003F0FE0" w:rsidP="003F0FE0">
            <w:pPr>
              <w:spacing w:after="0"/>
              <w:jc w:val="both"/>
              <w:rPr>
                <w:b/>
              </w:rPr>
            </w:pPr>
            <w:r w:rsidRPr="007920A9">
              <w:rPr>
                <w:b/>
              </w:rPr>
              <w:t>Résultat Global</w:t>
            </w:r>
          </w:p>
        </w:tc>
        <w:tc>
          <w:tcPr>
            <w:tcW w:w="1701" w:type="dxa"/>
            <w:shd w:val="clear" w:color="auto" w:fill="auto"/>
            <w:vAlign w:val="center"/>
          </w:tcPr>
          <w:p w14:paraId="524E2B20" w14:textId="77777777" w:rsidR="003F0FE0" w:rsidRPr="008D165C" w:rsidRDefault="003F0FE0" w:rsidP="003F0FE0">
            <w:pPr>
              <w:spacing w:after="0"/>
              <w:jc w:val="both"/>
            </w:pPr>
            <w:r w:rsidRPr="008D165C">
              <w:rPr>
                <w:bCs/>
              </w:rPr>
              <w:t>Élevée</w:t>
            </w:r>
          </w:p>
        </w:tc>
        <w:tc>
          <w:tcPr>
            <w:tcW w:w="1276" w:type="dxa"/>
            <w:shd w:val="clear" w:color="auto" w:fill="auto"/>
            <w:vAlign w:val="center"/>
          </w:tcPr>
          <w:p w14:paraId="1BD94823" w14:textId="7B97AACF" w:rsidR="003F0FE0" w:rsidRPr="008D165C" w:rsidRDefault="00BE1D2B" w:rsidP="003F0FE0">
            <w:pPr>
              <w:spacing w:after="0"/>
              <w:jc w:val="both"/>
              <w:rPr>
                <w:b/>
                <w:highlight w:val="yellow"/>
              </w:rPr>
            </w:pPr>
            <w:r w:rsidRPr="008D165C">
              <w:rPr>
                <w:b/>
                <w:bCs/>
                <w:sz w:val="24"/>
                <w:highlight w:val="yellow"/>
              </w:rPr>
              <w:t>JAUNE</w:t>
            </w:r>
            <w:r w:rsidR="008D165C" w:rsidRPr="008D165C">
              <w:rPr>
                <w:b/>
                <w:bCs/>
                <w:sz w:val="24"/>
              </w:rPr>
              <w:t xml:space="preserve"> </w:t>
            </w:r>
          </w:p>
        </w:tc>
        <w:tc>
          <w:tcPr>
            <w:tcW w:w="4565" w:type="dxa"/>
            <w:vAlign w:val="center"/>
          </w:tcPr>
          <w:p w14:paraId="7E700DAB" w14:textId="1C3721FB" w:rsidR="003F0FE0" w:rsidRPr="007920A9" w:rsidRDefault="008D165C" w:rsidP="003F0FE0">
            <w:pPr>
              <w:spacing w:after="0" w:line="240" w:lineRule="auto"/>
              <w:jc w:val="both"/>
            </w:pPr>
            <w:r w:rsidRPr="008D165C">
              <w:t xml:space="preserve">Les compétences techniques et les organismes de formation existent pour supporter le développement de l’Open Data. De nombreuses organisations de la SC servent d’intermédiaires pour </w:t>
            </w:r>
            <w:r w:rsidR="002B413B" w:rsidRPr="008D165C">
              <w:t>les citoyens</w:t>
            </w:r>
            <w:r w:rsidRPr="008D165C">
              <w:t xml:space="preserve"> dans l’analyse de données. Cependant, à ce stade, il n’y a pas de connexion avec les publications de données ouvertes faites par le gouvernement. Les conditions d’un écosystème dynamique sont </w:t>
            </w:r>
            <w:r w:rsidR="002B413B" w:rsidRPr="008D165C">
              <w:t>réunies</w:t>
            </w:r>
            <w:r w:rsidRPr="008D165C">
              <w:t>, mais il n’y a pas encore de dynamique créé</w:t>
            </w:r>
            <w:r w:rsidR="00733310">
              <w:t>e</w:t>
            </w:r>
          </w:p>
        </w:tc>
      </w:tr>
    </w:tbl>
    <w:p w14:paraId="678C8ACF" w14:textId="77777777" w:rsidR="00E41B13" w:rsidRDefault="00E41B13">
      <w:pPr>
        <w:rPr>
          <w:rFonts w:asciiTheme="majorHAnsi" w:eastAsiaTheme="majorEastAsia" w:hAnsiTheme="majorHAnsi" w:cstheme="majorBidi"/>
          <w:b/>
          <w:bCs/>
          <w:caps/>
          <w:color w:val="FFFFFF" w:themeColor="background1"/>
          <w:sz w:val="28"/>
          <w:szCs w:val="28"/>
        </w:rPr>
      </w:pPr>
      <w:bookmarkStart w:id="26" w:name="_Toc459307841"/>
      <w:r>
        <w:br w:type="page"/>
      </w:r>
    </w:p>
    <w:p w14:paraId="670FCFEA" w14:textId="123A744E" w:rsidR="008B3687" w:rsidRPr="007920A9" w:rsidRDefault="008B3687" w:rsidP="00A52A88">
      <w:pPr>
        <w:pStyle w:val="Titre1"/>
        <w:jc w:val="left"/>
      </w:pPr>
      <w:bookmarkStart w:id="27" w:name="_Toc496544782"/>
      <w:r w:rsidRPr="007920A9">
        <w:t>Financement d’un programme d’ouverture des données publiques</w:t>
      </w:r>
      <w:bookmarkEnd w:id="26"/>
      <w:bookmarkEnd w:id="27"/>
    </w:p>
    <w:p w14:paraId="64A82C02" w14:textId="03F44025" w:rsidR="008B3687" w:rsidRDefault="008B3687" w:rsidP="00026C12">
      <w:pPr>
        <w:jc w:val="both"/>
        <w:rPr>
          <w:b/>
          <w:bCs/>
          <w:sz w:val="24"/>
        </w:rPr>
      </w:pPr>
      <w:r w:rsidRPr="007920A9">
        <w:rPr>
          <w:b/>
          <w:bCs/>
          <w:sz w:val="24"/>
        </w:rPr>
        <w:t>7.1 Comment pourrait être identifiée les ressources nécessaires au financement de la première phase d'une initiative d’ouverture des données</w:t>
      </w:r>
      <w:r w:rsidR="00F11E50">
        <w:rPr>
          <w:b/>
          <w:bCs/>
          <w:sz w:val="24"/>
        </w:rPr>
        <w:t xml:space="preserve"> </w:t>
      </w:r>
      <w:r w:rsidRPr="007920A9">
        <w:rPr>
          <w:b/>
          <w:bCs/>
          <w:sz w:val="24"/>
        </w:rPr>
        <w:t>? Qui à la pouvoir de prendre cette décision ? (Importance: très élevée)</w:t>
      </w:r>
      <w:r w:rsidR="00F57EBC" w:rsidRPr="007920A9">
        <w:rPr>
          <w:b/>
          <w:bCs/>
          <w:sz w:val="24"/>
        </w:rPr>
        <w:t xml:space="preserve"> </w:t>
      </w:r>
      <w:r w:rsidR="00FE2C72" w:rsidRPr="00FE2C72">
        <w:rPr>
          <w:b/>
          <w:bCs/>
          <w:sz w:val="24"/>
          <w:highlight w:val="green"/>
        </w:rPr>
        <w:t>VERT</w:t>
      </w:r>
    </w:p>
    <w:p w14:paraId="2B2AC332" w14:textId="2633E087" w:rsidR="00060749" w:rsidRPr="00FE2C72" w:rsidRDefault="00060749" w:rsidP="00D5699E">
      <w:pPr>
        <w:pStyle w:val="Paragraphedeliste"/>
        <w:numPr>
          <w:ilvl w:val="0"/>
          <w:numId w:val="102"/>
        </w:numPr>
        <w:jc w:val="both"/>
        <w:rPr>
          <w:bCs/>
          <w:sz w:val="24"/>
        </w:rPr>
      </w:pPr>
      <w:r w:rsidRPr="00FE2C72">
        <w:rPr>
          <w:bCs/>
          <w:sz w:val="24"/>
        </w:rPr>
        <w:t xml:space="preserve">La BM </w:t>
      </w:r>
      <w:r w:rsidR="00FE2C72" w:rsidRPr="00FE2C72">
        <w:rPr>
          <w:bCs/>
          <w:sz w:val="24"/>
        </w:rPr>
        <w:t>à plusieurs projets d’appui en cours notamment sur les engagements 2 (loi de réutilisabilité de l’information) et 3 (inventaire de données). Ces 2 appuis constituent un socle de base pour le lancement du plan d’action</w:t>
      </w:r>
    </w:p>
    <w:p w14:paraId="2F39734F" w14:textId="10ED1183" w:rsidR="00FE2C72" w:rsidRPr="00FE2C72" w:rsidRDefault="00FE2C72" w:rsidP="00D5699E">
      <w:pPr>
        <w:pStyle w:val="Paragraphedeliste"/>
        <w:numPr>
          <w:ilvl w:val="0"/>
          <w:numId w:val="102"/>
        </w:numPr>
        <w:jc w:val="both"/>
        <w:rPr>
          <w:bCs/>
          <w:sz w:val="24"/>
        </w:rPr>
      </w:pPr>
      <w:r w:rsidRPr="00FE2C72">
        <w:rPr>
          <w:bCs/>
          <w:sz w:val="24"/>
        </w:rPr>
        <w:t xml:space="preserve">D’autres projets de la BM, comme le support à la HAICOP pour la mise en place de l’OCDS fournissent </w:t>
      </w:r>
      <w:r w:rsidR="002B413B" w:rsidRPr="00FE2C72">
        <w:rPr>
          <w:bCs/>
          <w:sz w:val="24"/>
        </w:rPr>
        <w:t>un appui indirect</w:t>
      </w:r>
    </w:p>
    <w:p w14:paraId="28891E75" w14:textId="7324CC2F" w:rsidR="00FE2C72" w:rsidRDefault="00FE2C72" w:rsidP="00D5699E">
      <w:pPr>
        <w:pStyle w:val="Paragraphedeliste"/>
        <w:numPr>
          <w:ilvl w:val="0"/>
          <w:numId w:val="102"/>
        </w:numPr>
        <w:jc w:val="both"/>
        <w:rPr>
          <w:bCs/>
          <w:sz w:val="24"/>
        </w:rPr>
      </w:pPr>
      <w:r w:rsidRPr="00FE2C72">
        <w:rPr>
          <w:bCs/>
          <w:sz w:val="24"/>
        </w:rPr>
        <w:t>Enfin, toujours à la BM, des projets sectoriels en cours ou en cours de préparation pourrai</w:t>
      </w:r>
      <w:r w:rsidR="00AA5FD4">
        <w:rPr>
          <w:bCs/>
          <w:sz w:val="24"/>
        </w:rPr>
        <w:t>en</w:t>
      </w:r>
      <w:r w:rsidRPr="00FE2C72">
        <w:rPr>
          <w:bCs/>
          <w:sz w:val="24"/>
        </w:rPr>
        <w:t>t apporter une aide spécifique à certains ministères</w:t>
      </w:r>
    </w:p>
    <w:p w14:paraId="47574E69" w14:textId="36656A3F" w:rsidR="00FE2C72" w:rsidRDefault="00FE2C72" w:rsidP="00D5699E">
      <w:pPr>
        <w:pStyle w:val="Paragraphedeliste"/>
        <w:numPr>
          <w:ilvl w:val="0"/>
          <w:numId w:val="102"/>
        </w:numPr>
        <w:jc w:val="both"/>
        <w:rPr>
          <w:bCs/>
          <w:sz w:val="24"/>
        </w:rPr>
      </w:pPr>
      <w:r>
        <w:rPr>
          <w:bCs/>
          <w:sz w:val="24"/>
        </w:rPr>
        <w:t xml:space="preserve">L’OCDE apporte actuellement un appui à la DGRPA sur l’accès à l’information pour notamment </w:t>
      </w:r>
      <w:r w:rsidR="002B413B">
        <w:rPr>
          <w:bCs/>
          <w:sz w:val="24"/>
        </w:rPr>
        <w:t>le développement</w:t>
      </w:r>
      <w:r>
        <w:rPr>
          <w:bCs/>
          <w:sz w:val="24"/>
        </w:rPr>
        <w:t xml:space="preserve"> de guide de manuel de procédure à la fois pour la SC et pour l’administration. Il serait intéressant de discuter avec cet organisation du plan d’action Open Data</w:t>
      </w:r>
    </w:p>
    <w:p w14:paraId="021EEA9F" w14:textId="101E595B" w:rsidR="007B750D" w:rsidRDefault="002B4B2A" w:rsidP="00D5699E">
      <w:pPr>
        <w:pStyle w:val="Paragraphedeliste"/>
        <w:numPr>
          <w:ilvl w:val="0"/>
          <w:numId w:val="102"/>
        </w:numPr>
        <w:jc w:val="both"/>
        <w:rPr>
          <w:bCs/>
          <w:sz w:val="24"/>
        </w:rPr>
      </w:pPr>
      <w:r>
        <w:rPr>
          <w:bCs/>
          <w:sz w:val="24"/>
        </w:rPr>
        <w:t xml:space="preserve">L’organisation </w:t>
      </w:r>
      <w:r w:rsidR="007B750D">
        <w:rPr>
          <w:bCs/>
          <w:sz w:val="24"/>
        </w:rPr>
        <w:t>FSVC (</w:t>
      </w:r>
      <w:r>
        <w:rPr>
          <w:bCs/>
          <w:sz w:val="24"/>
        </w:rPr>
        <w:t>Financial Services Volunteers Corps</w:t>
      </w:r>
      <w:r>
        <w:rPr>
          <w:rStyle w:val="Appelnotedebasdep"/>
          <w:bCs/>
          <w:sz w:val="24"/>
        </w:rPr>
        <w:footnoteReference w:id="101"/>
      </w:r>
      <w:r>
        <w:rPr>
          <w:bCs/>
          <w:sz w:val="24"/>
        </w:rPr>
        <w:t>) – Tunisie finance actuellement un ensemble d’activités auprès du gouvernement Tunisien au niveau national et local. FSVC est intéressé par également financés certaines actions liées à l’ouverture des données. Une fois le plan d’action établit, il sera intéressant d’explorer les synergies possibles</w:t>
      </w:r>
    </w:p>
    <w:p w14:paraId="79EE4189" w14:textId="5CC5369B" w:rsidR="008D36D9" w:rsidRPr="008D36D9" w:rsidRDefault="008D36D9" w:rsidP="00D5699E">
      <w:pPr>
        <w:pStyle w:val="Paragraphedeliste"/>
        <w:numPr>
          <w:ilvl w:val="0"/>
          <w:numId w:val="102"/>
        </w:numPr>
        <w:jc w:val="both"/>
        <w:rPr>
          <w:bCs/>
          <w:sz w:val="24"/>
        </w:rPr>
      </w:pPr>
      <w:r>
        <w:rPr>
          <w:bCs/>
          <w:sz w:val="24"/>
        </w:rPr>
        <w:t xml:space="preserve">Le MTCEN gère le fond des TIC alimenté notamment par </w:t>
      </w:r>
      <w:r w:rsidR="002B413B">
        <w:rPr>
          <w:bCs/>
          <w:sz w:val="24"/>
        </w:rPr>
        <w:t>une taxe</w:t>
      </w:r>
      <w:r>
        <w:rPr>
          <w:bCs/>
          <w:sz w:val="24"/>
        </w:rPr>
        <w:t xml:space="preserve"> sur les opérateurs mobiles. Ce fond sert à financer des projets TIC au sein des ministères sur la base de propositions de ces ministères. La mise en place de plateformes et processus open data pourrait être financé par ce canal.</w:t>
      </w:r>
    </w:p>
    <w:p w14:paraId="24E03D56" w14:textId="520930CB" w:rsidR="00FE2C72" w:rsidRDefault="00FE2C72" w:rsidP="00D5699E">
      <w:pPr>
        <w:pStyle w:val="Paragraphedeliste"/>
        <w:numPr>
          <w:ilvl w:val="0"/>
          <w:numId w:val="102"/>
        </w:numPr>
        <w:jc w:val="both"/>
        <w:rPr>
          <w:bCs/>
          <w:sz w:val="24"/>
        </w:rPr>
      </w:pPr>
      <w:r>
        <w:rPr>
          <w:bCs/>
          <w:sz w:val="24"/>
        </w:rPr>
        <w:t>Des bailleurs comme le GIZ (Allemagne) sont actifs en Tunisie et financent dans d’autres pays un appui à l’Open Data. Il pourrait être intéressant de sonder leurs intérêts pour financer une partie du plan d’action</w:t>
      </w:r>
    </w:p>
    <w:p w14:paraId="07244A42" w14:textId="3314A90A" w:rsidR="00FE2C72" w:rsidRPr="00FE2C72" w:rsidRDefault="00FE2C72" w:rsidP="00D5699E">
      <w:pPr>
        <w:pStyle w:val="Paragraphedeliste"/>
        <w:numPr>
          <w:ilvl w:val="0"/>
          <w:numId w:val="102"/>
        </w:numPr>
        <w:jc w:val="both"/>
        <w:rPr>
          <w:bCs/>
          <w:sz w:val="24"/>
        </w:rPr>
      </w:pPr>
      <w:r>
        <w:rPr>
          <w:bCs/>
          <w:sz w:val="24"/>
        </w:rPr>
        <w:t>Il est important de noter que la plupart des activités Open Data actuelles comme la mise en place des portails du MEMER, du MINT or du MIC ont été financé par les ministères eux-mêmes sur leur budget interne sans appui extérieur.</w:t>
      </w:r>
    </w:p>
    <w:p w14:paraId="38FB49B0" w14:textId="19096AEC" w:rsidR="008B3687" w:rsidRDefault="008B3687" w:rsidP="00026C12">
      <w:pPr>
        <w:jc w:val="both"/>
        <w:rPr>
          <w:b/>
          <w:bCs/>
          <w:sz w:val="24"/>
        </w:rPr>
      </w:pPr>
      <w:r w:rsidRPr="007920A9">
        <w:rPr>
          <w:b/>
          <w:bCs/>
          <w:sz w:val="24"/>
        </w:rPr>
        <w:t>7.2 Est-ce que des ressources existent ou ont été identifiées pour financer le développement d'applications initiales et de services en ligne qui utiliseront les données ouvertes? (Importance : Élevée)</w:t>
      </w:r>
      <w:r w:rsidR="00F57EBC" w:rsidRPr="007920A9">
        <w:rPr>
          <w:b/>
          <w:bCs/>
          <w:sz w:val="24"/>
        </w:rPr>
        <w:t xml:space="preserve"> </w:t>
      </w:r>
      <w:r w:rsidR="008D36D9" w:rsidRPr="008D36D9">
        <w:rPr>
          <w:b/>
          <w:bCs/>
          <w:sz w:val="24"/>
          <w:highlight w:val="yellow"/>
        </w:rPr>
        <w:t>JAUNE</w:t>
      </w:r>
    </w:p>
    <w:p w14:paraId="1629CFB3" w14:textId="03FE8C04" w:rsidR="008D36D9" w:rsidRDefault="008D36D9" w:rsidP="00D5699E">
      <w:pPr>
        <w:pStyle w:val="Paragraphedeliste"/>
        <w:numPr>
          <w:ilvl w:val="0"/>
          <w:numId w:val="103"/>
        </w:numPr>
        <w:jc w:val="both"/>
        <w:rPr>
          <w:bCs/>
          <w:sz w:val="24"/>
        </w:rPr>
      </w:pPr>
      <w:r w:rsidRPr="008D36D9">
        <w:rPr>
          <w:bCs/>
          <w:sz w:val="24"/>
        </w:rPr>
        <w:t>Le plan d’action PGO inclue la réalisation d’applications mobiles</w:t>
      </w:r>
      <w:r>
        <w:rPr>
          <w:bCs/>
          <w:sz w:val="24"/>
        </w:rPr>
        <w:t xml:space="preserve"> par le MIT. Ces applications sont en cours de développement sur financement interne</w:t>
      </w:r>
    </w:p>
    <w:p w14:paraId="574E197E" w14:textId="3971F041" w:rsidR="008D36D9" w:rsidRDefault="008D36D9" w:rsidP="00D5699E">
      <w:pPr>
        <w:pStyle w:val="Paragraphedeliste"/>
        <w:numPr>
          <w:ilvl w:val="0"/>
          <w:numId w:val="103"/>
        </w:numPr>
        <w:jc w:val="both"/>
        <w:rPr>
          <w:bCs/>
          <w:sz w:val="24"/>
        </w:rPr>
      </w:pPr>
      <w:r>
        <w:rPr>
          <w:bCs/>
          <w:sz w:val="24"/>
        </w:rPr>
        <w:t xml:space="preserve">Les sources de financement mentionnées à la question précédente </w:t>
      </w:r>
      <w:r w:rsidR="002B413B">
        <w:rPr>
          <w:bCs/>
          <w:sz w:val="24"/>
        </w:rPr>
        <w:t>pourraient</w:t>
      </w:r>
      <w:r>
        <w:rPr>
          <w:bCs/>
          <w:sz w:val="24"/>
        </w:rPr>
        <w:t xml:space="preserve"> être utilisé pour le développement d’applications spécifiques</w:t>
      </w:r>
    </w:p>
    <w:p w14:paraId="444A52C2" w14:textId="1584FD43" w:rsidR="008D36D9" w:rsidRDefault="008D36D9" w:rsidP="00D5699E">
      <w:pPr>
        <w:pStyle w:val="Paragraphedeliste"/>
        <w:numPr>
          <w:ilvl w:val="0"/>
          <w:numId w:val="103"/>
        </w:numPr>
        <w:jc w:val="both"/>
        <w:rPr>
          <w:bCs/>
          <w:sz w:val="24"/>
        </w:rPr>
      </w:pPr>
      <w:r>
        <w:rPr>
          <w:bCs/>
          <w:sz w:val="24"/>
        </w:rPr>
        <w:t xml:space="preserve">Le fond des TIC du MTCEN pourrait être utilisé pour </w:t>
      </w:r>
      <w:r w:rsidR="002B413B">
        <w:rPr>
          <w:bCs/>
          <w:sz w:val="24"/>
        </w:rPr>
        <w:t>le</w:t>
      </w:r>
      <w:r>
        <w:rPr>
          <w:bCs/>
          <w:sz w:val="24"/>
        </w:rPr>
        <w:t xml:space="preserve"> développement d’application</w:t>
      </w:r>
    </w:p>
    <w:p w14:paraId="3C453F4D" w14:textId="277AE8D5" w:rsidR="008D36D9" w:rsidRDefault="008D36D9" w:rsidP="00D5699E">
      <w:pPr>
        <w:pStyle w:val="Paragraphedeliste"/>
        <w:numPr>
          <w:ilvl w:val="0"/>
          <w:numId w:val="104"/>
        </w:numPr>
        <w:jc w:val="both"/>
        <w:rPr>
          <w:bCs/>
          <w:sz w:val="24"/>
        </w:rPr>
      </w:pPr>
      <w:r>
        <w:rPr>
          <w:bCs/>
          <w:sz w:val="24"/>
        </w:rPr>
        <w:t xml:space="preserve">Les applications en cours de développement (administration électronique, MIT, etc.) ne s’appuient pas sur </w:t>
      </w:r>
      <w:r w:rsidR="002B413B">
        <w:rPr>
          <w:bCs/>
          <w:sz w:val="24"/>
        </w:rPr>
        <w:t>les données ouvertes</w:t>
      </w:r>
    </w:p>
    <w:p w14:paraId="46B887C1" w14:textId="7756B246" w:rsidR="008D36D9" w:rsidRPr="008D36D9" w:rsidRDefault="008D36D9" w:rsidP="00D5699E">
      <w:pPr>
        <w:pStyle w:val="Paragraphedeliste"/>
        <w:numPr>
          <w:ilvl w:val="0"/>
          <w:numId w:val="104"/>
        </w:numPr>
        <w:jc w:val="both"/>
        <w:rPr>
          <w:bCs/>
          <w:sz w:val="24"/>
        </w:rPr>
      </w:pPr>
      <w:r>
        <w:rPr>
          <w:bCs/>
          <w:sz w:val="24"/>
        </w:rPr>
        <w:t>Pas de financement particulier pour le développement d’applications a été identifié</w:t>
      </w:r>
      <w:r w:rsidRPr="008D36D9">
        <w:rPr>
          <w:bCs/>
          <w:sz w:val="24"/>
        </w:rPr>
        <w:t xml:space="preserve"> </w:t>
      </w:r>
    </w:p>
    <w:p w14:paraId="0A4FE56A" w14:textId="10107F0A" w:rsidR="008B3687" w:rsidRDefault="008B3687" w:rsidP="00026C12">
      <w:pPr>
        <w:jc w:val="both"/>
        <w:rPr>
          <w:b/>
          <w:bCs/>
          <w:sz w:val="24"/>
        </w:rPr>
      </w:pPr>
      <w:r w:rsidRPr="007920A9">
        <w:rPr>
          <w:b/>
          <w:bCs/>
          <w:sz w:val="24"/>
        </w:rPr>
        <w:t>7.3 Existe-t-il des financements pour soutenir les infrastructures nécessaires aux TIC et s’assurer qu’un nombre suffisant de personnels ont les compétences nécessaires à la gestion d’une initiative d’ouverture des données? (Importance: Moyennement Élevée)</w:t>
      </w:r>
      <w:r w:rsidR="00F57EBC" w:rsidRPr="007920A9">
        <w:rPr>
          <w:b/>
          <w:bCs/>
          <w:sz w:val="24"/>
        </w:rPr>
        <w:t xml:space="preserve"> </w:t>
      </w:r>
      <w:r w:rsidR="008D36D9" w:rsidRPr="008D36D9">
        <w:rPr>
          <w:b/>
          <w:bCs/>
          <w:sz w:val="24"/>
          <w:highlight w:val="yellow"/>
        </w:rPr>
        <w:t>JAUNE</w:t>
      </w:r>
    </w:p>
    <w:p w14:paraId="63E653EF" w14:textId="6BA9D63D" w:rsidR="008D36D9" w:rsidRPr="008D36D9" w:rsidRDefault="008D36D9" w:rsidP="00D5699E">
      <w:pPr>
        <w:pStyle w:val="Paragraphedeliste"/>
        <w:numPr>
          <w:ilvl w:val="0"/>
          <w:numId w:val="105"/>
        </w:numPr>
        <w:jc w:val="both"/>
        <w:rPr>
          <w:bCs/>
          <w:sz w:val="24"/>
        </w:rPr>
      </w:pPr>
      <w:r w:rsidRPr="008D36D9">
        <w:rPr>
          <w:bCs/>
          <w:sz w:val="24"/>
        </w:rPr>
        <w:t xml:space="preserve">Chaque </w:t>
      </w:r>
      <w:r w:rsidR="004143CF" w:rsidRPr="008D36D9">
        <w:rPr>
          <w:bCs/>
          <w:sz w:val="24"/>
        </w:rPr>
        <w:t>Ministère</w:t>
      </w:r>
      <w:r w:rsidRPr="008D36D9">
        <w:rPr>
          <w:bCs/>
          <w:sz w:val="24"/>
        </w:rPr>
        <w:t xml:space="preserve"> et structure </w:t>
      </w:r>
      <w:r w:rsidR="00F11E50">
        <w:rPr>
          <w:bCs/>
          <w:sz w:val="24"/>
        </w:rPr>
        <w:t>doit prévoir des cycles de formations aux agents</w:t>
      </w:r>
    </w:p>
    <w:p w14:paraId="3700A1D7" w14:textId="31EB7446" w:rsidR="008D36D9" w:rsidRDefault="008D36D9" w:rsidP="00D5699E">
      <w:pPr>
        <w:pStyle w:val="Paragraphedeliste"/>
        <w:numPr>
          <w:ilvl w:val="0"/>
          <w:numId w:val="105"/>
        </w:numPr>
        <w:jc w:val="both"/>
        <w:rPr>
          <w:bCs/>
          <w:sz w:val="24"/>
        </w:rPr>
      </w:pPr>
      <w:r w:rsidRPr="008D36D9">
        <w:rPr>
          <w:bCs/>
          <w:sz w:val="24"/>
        </w:rPr>
        <w:t xml:space="preserve">L’UAE contribue à la définition du plan de formation </w:t>
      </w:r>
      <w:r w:rsidR="004143CF" w:rsidRPr="008D36D9">
        <w:rPr>
          <w:bCs/>
          <w:sz w:val="24"/>
        </w:rPr>
        <w:t>envoyé</w:t>
      </w:r>
      <w:r w:rsidRPr="008D36D9">
        <w:rPr>
          <w:bCs/>
          <w:sz w:val="24"/>
        </w:rPr>
        <w:t xml:space="preserve"> aux </w:t>
      </w:r>
      <w:r w:rsidR="004143CF" w:rsidRPr="008D36D9">
        <w:rPr>
          <w:bCs/>
          <w:sz w:val="24"/>
        </w:rPr>
        <w:t>ministères</w:t>
      </w:r>
      <w:r w:rsidR="004143CF">
        <w:rPr>
          <w:bCs/>
          <w:sz w:val="24"/>
        </w:rPr>
        <w:t>. L’Open Data a été inscrit dans ce plan</w:t>
      </w:r>
    </w:p>
    <w:p w14:paraId="30D87BCB" w14:textId="4857580C" w:rsidR="004143CF" w:rsidRDefault="004143CF" w:rsidP="00D5699E">
      <w:pPr>
        <w:pStyle w:val="Paragraphedeliste"/>
        <w:numPr>
          <w:ilvl w:val="0"/>
          <w:numId w:val="106"/>
        </w:numPr>
        <w:jc w:val="both"/>
        <w:rPr>
          <w:bCs/>
          <w:sz w:val="24"/>
        </w:rPr>
      </w:pPr>
      <w:r>
        <w:rPr>
          <w:bCs/>
          <w:sz w:val="24"/>
        </w:rPr>
        <w:t>Il n’y a aucun regard de l’UAE sur les formations sélectionnées et dispensées par les ministères.</w:t>
      </w:r>
      <w:r w:rsidRPr="004143CF">
        <w:rPr>
          <w:bCs/>
          <w:sz w:val="24"/>
        </w:rPr>
        <w:t xml:space="preserve"> </w:t>
      </w:r>
      <w:r>
        <w:rPr>
          <w:bCs/>
          <w:sz w:val="24"/>
        </w:rPr>
        <w:t>La décision relève de chaque structure.</w:t>
      </w:r>
    </w:p>
    <w:p w14:paraId="1321C6A3" w14:textId="0AF4D498" w:rsidR="004143CF" w:rsidRDefault="004143CF" w:rsidP="00D5699E">
      <w:pPr>
        <w:pStyle w:val="Paragraphedeliste"/>
        <w:numPr>
          <w:ilvl w:val="0"/>
          <w:numId w:val="106"/>
        </w:numPr>
        <w:jc w:val="both"/>
        <w:rPr>
          <w:bCs/>
          <w:sz w:val="24"/>
        </w:rPr>
      </w:pPr>
      <w:r>
        <w:rPr>
          <w:bCs/>
          <w:sz w:val="24"/>
        </w:rPr>
        <w:t>Il n’y a aucun regard de l’UAE sur les personnels sélectionnés pour ces formations. La décision relève de chaque structure.</w:t>
      </w:r>
    </w:p>
    <w:p w14:paraId="4B01D22C" w14:textId="146312E0" w:rsidR="004143CF" w:rsidRDefault="004143CF" w:rsidP="00D5699E">
      <w:pPr>
        <w:pStyle w:val="Paragraphedeliste"/>
        <w:numPr>
          <w:ilvl w:val="0"/>
          <w:numId w:val="105"/>
        </w:numPr>
        <w:jc w:val="both"/>
        <w:rPr>
          <w:bCs/>
          <w:sz w:val="24"/>
        </w:rPr>
      </w:pPr>
      <w:r>
        <w:rPr>
          <w:bCs/>
          <w:sz w:val="24"/>
        </w:rPr>
        <w:t>Il existe des structures publiques de formation comme le CIFODE’Com, la CFAD ou l’ENA qui délivrent des formations aux personnels techniques nationaux (CIFODE), aux personnels locaux (CFAD – inclue des modules de formation en ligne), et aux hauts-cadres de la fonction publique (ENA). Ces organismes pourraient servir de relais et pourrais être formé à délivrer des formations Open Data</w:t>
      </w:r>
    </w:p>
    <w:p w14:paraId="45C8ED3D" w14:textId="3BF1457E" w:rsidR="008D36D9" w:rsidRPr="00485A96" w:rsidRDefault="004143CF" w:rsidP="00D5699E">
      <w:pPr>
        <w:pStyle w:val="Paragraphedeliste"/>
        <w:numPr>
          <w:ilvl w:val="0"/>
          <w:numId w:val="105"/>
        </w:numPr>
        <w:jc w:val="both"/>
        <w:rPr>
          <w:bCs/>
          <w:sz w:val="24"/>
        </w:rPr>
      </w:pPr>
      <w:r>
        <w:rPr>
          <w:bCs/>
          <w:sz w:val="24"/>
        </w:rPr>
        <w:t>Les équipes techniques qui ont mis en place les différents portails ont chacune acquise par leurs propres moyens (auto-formation en général) les compétences et l’expertise requise</w:t>
      </w:r>
    </w:p>
    <w:p w14:paraId="44FCCE36" w14:textId="32B9AC39" w:rsidR="008B3687" w:rsidRDefault="008B3687" w:rsidP="00026C12">
      <w:pPr>
        <w:jc w:val="both"/>
        <w:rPr>
          <w:b/>
          <w:bCs/>
          <w:sz w:val="24"/>
        </w:rPr>
      </w:pPr>
      <w:r w:rsidRPr="007920A9">
        <w:rPr>
          <w:b/>
          <w:bCs/>
          <w:sz w:val="24"/>
        </w:rPr>
        <w:t>7.4 Quel(s) type(s) de mécanismes de financement de l'innovation le gouvernement a-t-il mis en place ? (Importance : Moyennement élevé)</w:t>
      </w:r>
      <w:r w:rsidR="00F57EBC" w:rsidRPr="007920A9">
        <w:rPr>
          <w:b/>
          <w:bCs/>
          <w:sz w:val="24"/>
        </w:rPr>
        <w:t xml:space="preserve"> </w:t>
      </w:r>
      <w:r w:rsidR="002919DB" w:rsidRPr="002919DB">
        <w:rPr>
          <w:b/>
          <w:bCs/>
          <w:sz w:val="24"/>
          <w:highlight w:val="yellow"/>
        </w:rPr>
        <w:t>JAUNE</w:t>
      </w:r>
      <w:r w:rsidR="002919DB">
        <w:rPr>
          <w:b/>
          <w:bCs/>
          <w:sz w:val="24"/>
        </w:rPr>
        <w:t>/</w:t>
      </w:r>
      <w:r w:rsidR="002919DB" w:rsidRPr="002919DB">
        <w:rPr>
          <w:b/>
          <w:bCs/>
          <w:sz w:val="24"/>
          <w:highlight w:val="green"/>
        </w:rPr>
        <w:t>VERT</w:t>
      </w:r>
    </w:p>
    <w:p w14:paraId="28EBD1F3" w14:textId="6D8CDCD1" w:rsidR="004E5EFC" w:rsidRDefault="004E5EFC" w:rsidP="00D5699E">
      <w:pPr>
        <w:pStyle w:val="Paragraphedeliste"/>
        <w:numPr>
          <w:ilvl w:val="0"/>
          <w:numId w:val="43"/>
        </w:numPr>
        <w:jc w:val="both"/>
        <w:rPr>
          <w:bCs/>
          <w:sz w:val="24"/>
        </w:rPr>
      </w:pPr>
      <w:r w:rsidRPr="004E5EFC">
        <w:rPr>
          <w:bCs/>
          <w:sz w:val="24"/>
        </w:rPr>
        <w:t xml:space="preserve">Pour les projets innovants dans le secteur des TICs, une commission constituée auprès du Ministre des Finances statue sur le caractère innovant et propose de faire bénéficier l'entreprise ou projets des avantages prévues par l'article 74 de la loi portant refonte des incitations </w:t>
      </w:r>
      <w:r>
        <w:rPr>
          <w:bCs/>
          <w:sz w:val="24"/>
        </w:rPr>
        <w:t>fiscales</w:t>
      </w:r>
      <w:r>
        <w:rPr>
          <w:rStyle w:val="Appelnotedebasdep"/>
          <w:bCs/>
          <w:sz w:val="24"/>
        </w:rPr>
        <w:footnoteReference w:id="102"/>
      </w:r>
    </w:p>
    <w:p w14:paraId="2EF21E8A" w14:textId="66587A42" w:rsidR="00CD1458" w:rsidRPr="00CD1458" w:rsidRDefault="00CD1458" w:rsidP="00D5699E">
      <w:pPr>
        <w:pStyle w:val="Paragraphedeliste"/>
        <w:numPr>
          <w:ilvl w:val="0"/>
          <w:numId w:val="43"/>
        </w:numPr>
        <w:jc w:val="both"/>
        <w:rPr>
          <w:bCs/>
          <w:sz w:val="24"/>
        </w:rPr>
      </w:pPr>
      <w:r w:rsidRPr="00CD1458">
        <w:rPr>
          <w:bCs/>
          <w:sz w:val="24"/>
        </w:rPr>
        <w:t xml:space="preserve">Le MTCEN a mis en place </w:t>
      </w:r>
      <w:r w:rsidR="00F11E50">
        <w:rPr>
          <w:bCs/>
          <w:sz w:val="24"/>
        </w:rPr>
        <w:t>d</w:t>
      </w:r>
      <w:r w:rsidRPr="00CD1458">
        <w:rPr>
          <w:bCs/>
          <w:sz w:val="24"/>
        </w:rPr>
        <w:t>es technopoles et notamment celle de El Gazala</w:t>
      </w:r>
      <w:r w:rsidRPr="00CD1458">
        <w:rPr>
          <w:rStyle w:val="Appelnotedebasdep"/>
          <w:bCs/>
          <w:sz w:val="24"/>
        </w:rPr>
        <w:footnoteReference w:id="103"/>
      </w:r>
      <w:r w:rsidRPr="00CD1458">
        <w:rPr>
          <w:bCs/>
          <w:sz w:val="24"/>
        </w:rPr>
        <w:t xml:space="preserve"> dans le secteur des TIC</w:t>
      </w:r>
    </w:p>
    <w:p w14:paraId="30D5B54D" w14:textId="116B7100" w:rsidR="00CD1458" w:rsidRPr="00CD1458" w:rsidRDefault="00CD1458" w:rsidP="00D5699E">
      <w:pPr>
        <w:pStyle w:val="Paragraphedeliste"/>
        <w:numPr>
          <w:ilvl w:val="0"/>
          <w:numId w:val="43"/>
        </w:numPr>
        <w:jc w:val="both"/>
        <w:rPr>
          <w:bCs/>
          <w:sz w:val="24"/>
        </w:rPr>
      </w:pPr>
      <w:r w:rsidRPr="00CD1458">
        <w:rPr>
          <w:bCs/>
          <w:sz w:val="24"/>
        </w:rPr>
        <w:t>Le MTCEN a mis en place une série de pépinières d’entreprises</w:t>
      </w:r>
      <w:r w:rsidRPr="00CD1458">
        <w:rPr>
          <w:rStyle w:val="Appelnotedebasdep"/>
          <w:bCs/>
          <w:sz w:val="24"/>
        </w:rPr>
        <w:footnoteReference w:id="104"/>
      </w:r>
      <w:r w:rsidRPr="00CD1458">
        <w:rPr>
          <w:bCs/>
          <w:sz w:val="24"/>
        </w:rPr>
        <w:t xml:space="preserve"> pour supporter </w:t>
      </w:r>
      <w:r w:rsidR="002B413B" w:rsidRPr="00CD1458">
        <w:rPr>
          <w:bCs/>
          <w:sz w:val="24"/>
        </w:rPr>
        <w:t>les startups</w:t>
      </w:r>
    </w:p>
    <w:p w14:paraId="3167C75B" w14:textId="26386855" w:rsidR="00CD1458" w:rsidRDefault="00CD1458" w:rsidP="00D5699E">
      <w:pPr>
        <w:pStyle w:val="Paragraphedeliste"/>
        <w:numPr>
          <w:ilvl w:val="0"/>
          <w:numId w:val="43"/>
        </w:numPr>
        <w:jc w:val="both"/>
        <w:rPr>
          <w:bCs/>
          <w:sz w:val="24"/>
        </w:rPr>
      </w:pPr>
      <w:r w:rsidRPr="00CD1458">
        <w:rPr>
          <w:bCs/>
          <w:sz w:val="24"/>
        </w:rPr>
        <w:t>Les startups et l’innovation sont au cœur du Plan National Stratégique Tunisie Digital 2020</w:t>
      </w:r>
    </w:p>
    <w:p w14:paraId="5D074278" w14:textId="2EA74378" w:rsidR="002919DB" w:rsidRDefault="002919DB" w:rsidP="00D5699E">
      <w:pPr>
        <w:pStyle w:val="Paragraphedeliste"/>
        <w:numPr>
          <w:ilvl w:val="0"/>
          <w:numId w:val="43"/>
        </w:numPr>
        <w:jc w:val="both"/>
        <w:rPr>
          <w:bCs/>
          <w:sz w:val="24"/>
        </w:rPr>
      </w:pPr>
      <w:r>
        <w:rPr>
          <w:bCs/>
          <w:sz w:val="24"/>
        </w:rPr>
        <w:t>La loi sur l’investissement de 2017</w:t>
      </w:r>
      <w:r>
        <w:rPr>
          <w:rStyle w:val="Appelnotedebasdep"/>
          <w:bCs/>
          <w:sz w:val="24"/>
        </w:rPr>
        <w:footnoteReference w:id="105"/>
      </w:r>
      <w:r>
        <w:rPr>
          <w:bCs/>
          <w:sz w:val="24"/>
        </w:rPr>
        <w:t xml:space="preserve"> fournit un ensemble d’incitations fiscales pour l’investissement</w:t>
      </w:r>
    </w:p>
    <w:p w14:paraId="61D41FEB" w14:textId="446C9694" w:rsidR="00485A96" w:rsidRDefault="00485A96" w:rsidP="00D5699E">
      <w:pPr>
        <w:pStyle w:val="Paragraphedeliste"/>
        <w:numPr>
          <w:ilvl w:val="0"/>
          <w:numId w:val="43"/>
        </w:numPr>
        <w:jc w:val="both"/>
        <w:rPr>
          <w:bCs/>
          <w:sz w:val="24"/>
        </w:rPr>
      </w:pPr>
      <w:r>
        <w:rPr>
          <w:bCs/>
          <w:sz w:val="24"/>
        </w:rPr>
        <w:t xml:space="preserve">Le </w:t>
      </w:r>
      <w:r w:rsidRPr="00485A96">
        <w:rPr>
          <w:bCs/>
          <w:sz w:val="24"/>
        </w:rPr>
        <w:t>centre des jeunes dirigeants d'entreprises</w:t>
      </w:r>
      <w:r>
        <w:rPr>
          <w:bCs/>
          <w:sz w:val="24"/>
        </w:rPr>
        <w:t xml:space="preserve"> (CJD) publie un guide de financement des PME</w:t>
      </w:r>
      <w:r>
        <w:rPr>
          <w:rStyle w:val="Appelnotedebasdep"/>
          <w:bCs/>
          <w:sz w:val="24"/>
        </w:rPr>
        <w:footnoteReference w:id="106"/>
      </w:r>
      <w:r>
        <w:rPr>
          <w:bCs/>
          <w:sz w:val="24"/>
        </w:rPr>
        <w:t xml:space="preserve"> en 2017 qui recense l’ensemble des financements publiques et privés disponible en Tunisie en fonction des différentes phases de développement d’une entreprise. Même si ce guide n’est pas spécifique aux TIC, il permet d’identifier l’ensemble des opportunités de financement.</w:t>
      </w:r>
    </w:p>
    <w:p w14:paraId="276E9D8F" w14:textId="0D7DE9C3" w:rsidR="002919DB" w:rsidRDefault="00D510C6" w:rsidP="001C539E">
      <w:pPr>
        <w:pStyle w:val="Paragraphedeliste"/>
        <w:numPr>
          <w:ilvl w:val="0"/>
          <w:numId w:val="21"/>
        </w:numPr>
        <w:jc w:val="both"/>
        <w:rPr>
          <w:bCs/>
          <w:sz w:val="24"/>
        </w:rPr>
      </w:pPr>
      <w:r>
        <w:rPr>
          <w:bCs/>
          <w:sz w:val="24"/>
        </w:rPr>
        <w:t xml:space="preserve">Il n’a pas été identifié de financement privé pour l’innovation dans les TIC ou en rapport avec l’Open Data </w:t>
      </w:r>
    </w:p>
    <w:p w14:paraId="327DA612" w14:textId="218116C6" w:rsidR="004E5EFC" w:rsidRDefault="004E5EFC" w:rsidP="001C539E">
      <w:pPr>
        <w:pStyle w:val="Paragraphedeliste"/>
        <w:numPr>
          <w:ilvl w:val="0"/>
          <w:numId w:val="21"/>
        </w:numPr>
        <w:jc w:val="both"/>
        <w:rPr>
          <w:bCs/>
          <w:sz w:val="24"/>
        </w:rPr>
      </w:pPr>
      <w:r>
        <w:rPr>
          <w:bCs/>
          <w:sz w:val="24"/>
        </w:rPr>
        <w:t>Le statut juridique de startup n’existe pas actuellement mais seulement celui de petites et moyennes entreprises</w:t>
      </w:r>
    </w:p>
    <w:p w14:paraId="2C2DFDEF" w14:textId="5000251A" w:rsidR="004E5EFC" w:rsidRPr="00485A96" w:rsidRDefault="004E5EFC" w:rsidP="00D5699E">
      <w:pPr>
        <w:pStyle w:val="Paragraphedeliste"/>
        <w:numPr>
          <w:ilvl w:val="0"/>
          <w:numId w:val="109"/>
        </w:numPr>
        <w:jc w:val="both"/>
        <w:rPr>
          <w:bCs/>
          <w:sz w:val="24"/>
        </w:rPr>
      </w:pPr>
      <w:r w:rsidRPr="004E5EFC">
        <w:rPr>
          <w:bCs/>
          <w:sz w:val="24"/>
        </w:rPr>
        <w:t xml:space="preserve">Un projet de loi avec des textes d'applications sont en cours d'élaboration pour réglementer et prévoir les mécanismes et incitations de nature à mettre en place un écosystème favorable à l'émergence des startups. Ces textes, notamment le projet de loi relative à la promotion des Startups, sera approuvé au niveau d'un conseil ministériel restreint au courant du mois d'Octobre et le cas échéant transféré pour adoption à </w:t>
      </w:r>
      <w:r>
        <w:rPr>
          <w:bCs/>
          <w:sz w:val="24"/>
        </w:rPr>
        <w:t>l’ARP</w:t>
      </w:r>
    </w:p>
    <w:p w14:paraId="08156B61" w14:textId="77777777" w:rsidR="00AC3700" w:rsidRPr="007920A9" w:rsidRDefault="00AC3700" w:rsidP="00A52A88">
      <w:pPr>
        <w:ind w:left="360"/>
        <w:jc w:val="both"/>
        <w:rPr>
          <w:bCs/>
          <w:sz w:val="24"/>
        </w:rPr>
      </w:pPr>
      <w:r w:rsidRPr="007920A9">
        <w:rPr>
          <w:rStyle w:val="Emphaseple"/>
          <w:color w:val="auto"/>
        </w:rPr>
        <w:t>Evaluation du FINANCEMENT D’UN PROGRAMME D’OUVERTURE DES DONNEES PUBLIQUES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701"/>
        <w:gridCol w:w="1276"/>
        <w:gridCol w:w="4252"/>
      </w:tblGrid>
      <w:tr w:rsidR="00026C12" w:rsidRPr="007920A9" w14:paraId="4006425D" w14:textId="77777777" w:rsidTr="00A52A88">
        <w:trPr>
          <w:cantSplit/>
          <w:trHeight w:val="305"/>
          <w:tblHeader/>
        </w:trPr>
        <w:tc>
          <w:tcPr>
            <w:tcW w:w="1951" w:type="dxa"/>
            <w:shd w:val="clear" w:color="auto" w:fill="D9D9D9" w:themeFill="background1" w:themeFillShade="D9"/>
            <w:vAlign w:val="center"/>
          </w:tcPr>
          <w:p w14:paraId="38C50A55" w14:textId="77777777" w:rsidR="00AC3700" w:rsidRPr="007920A9" w:rsidRDefault="00AC3700" w:rsidP="00026C12">
            <w:pPr>
              <w:spacing w:after="0"/>
              <w:jc w:val="both"/>
              <w:rPr>
                <w:b/>
              </w:rPr>
            </w:pPr>
            <w:r w:rsidRPr="007920A9">
              <w:rPr>
                <w:b/>
              </w:rPr>
              <w:t>Domaine</w:t>
            </w:r>
          </w:p>
        </w:tc>
        <w:tc>
          <w:tcPr>
            <w:tcW w:w="1701" w:type="dxa"/>
            <w:shd w:val="clear" w:color="auto" w:fill="D9D9D9" w:themeFill="background1" w:themeFillShade="D9"/>
            <w:vAlign w:val="center"/>
          </w:tcPr>
          <w:p w14:paraId="7A2A2B27" w14:textId="77777777" w:rsidR="00AC3700" w:rsidRPr="007920A9" w:rsidRDefault="00AC3700" w:rsidP="00026C12">
            <w:pPr>
              <w:spacing w:after="0"/>
              <w:jc w:val="both"/>
              <w:rPr>
                <w:b/>
              </w:rPr>
            </w:pPr>
            <w:r w:rsidRPr="007920A9">
              <w:rPr>
                <w:b/>
              </w:rPr>
              <w:t>Importance</w:t>
            </w:r>
          </w:p>
        </w:tc>
        <w:tc>
          <w:tcPr>
            <w:tcW w:w="1276" w:type="dxa"/>
            <w:shd w:val="clear" w:color="auto" w:fill="D9D9D9" w:themeFill="background1" w:themeFillShade="D9"/>
            <w:vAlign w:val="center"/>
          </w:tcPr>
          <w:p w14:paraId="3EC673ED" w14:textId="77777777" w:rsidR="00AC3700" w:rsidRPr="007920A9" w:rsidRDefault="00AC3700" w:rsidP="00026C12">
            <w:pPr>
              <w:spacing w:after="0"/>
              <w:jc w:val="both"/>
              <w:rPr>
                <w:b/>
              </w:rPr>
            </w:pPr>
            <w:r w:rsidRPr="007920A9">
              <w:rPr>
                <w:b/>
              </w:rPr>
              <w:t>Evaluation</w:t>
            </w:r>
          </w:p>
        </w:tc>
        <w:tc>
          <w:tcPr>
            <w:tcW w:w="4252" w:type="dxa"/>
            <w:shd w:val="clear" w:color="auto" w:fill="D9D9D9" w:themeFill="background1" w:themeFillShade="D9"/>
            <w:vAlign w:val="center"/>
          </w:tcPr>
          <w:p w14:paraId="5E5A0F35" w14:textId="77777777" w:rsidR="00AC3700" w:rsidRPr="007920A9" w:rsidRDefault="00AC3700" w:rsidP="00026C12">
            <w:pPr>
              <w:spacing w:after="0"/>
              <w:jc w:val="both"/>
              <w:rPr>
                <w:b/>
              </w:rPr>
            </w:pPr>
            <w:r w:rsidRPr="007920A9">
              <w:rPr>
                <w:b/>
              </w:rPr>
              <w:t>Commentaires</w:t>
            </w:r>
          </w:p>
        </w:tc>
      </w:tr>
      <w:tr w:rsidR="00026C12" w:rsidRPr="007920A9" w14:paraId="23D1F6E5" w14:textId="77777777" w:rsidTr="00A52A88">
        <w:tc>
          <w:tcPr>
            <w:tcW w:w="1951" w:type="dxa"/>
            <w:vAlign w:val="center"/>
          </w:tcPr>
          <w:p w14:paraId="4B2CC905" w14:textId="1D3A617E" w:rsidR="00AC3700" w:rsidRPr="007920A9" w:rsidRDefault="002B413B" w:rsidP="00026C12">
            <w:pPr>
              <w:spacing w:after="0"/>
              <w:jc w:val="both"/>
              <w:rPr>
                <w:b/>
              </w:rPr>
            </w:pPr>
            <w:r w:rsidRPr="007920A9">
              <w:rPr>
                <w:b/>
              </w:rPr>
              <w:t>Ressources disponibles</w:t>
            </w:r>
            <w:r w:rsidR="00AC3700" w:rsidRPr="007920A9">
              <w:rPr>
                <w:b/>
              </w:rPr>
              <w:t xml:space="preserve"> pour le lancement d’un programme d’Open Data</w:t>
            </w:r>
          </w:p>
        </w:tc>
        <w:tc>
          <w:tcPr>
            <w:tcW w:w="1701" w:type="dxa"/>
            <w:vAlign w:val="center"/>
          </w:tcPr>
          <w:p w14:paraId="1028997D" w14:textId="77777777" w:rsidR="00AC3700" w:rsidRPr="007920A9" w:rsidRDefault="00AC3700" w:rsidP="00026C12">
            <w:pPr>
              <w:spacing w:after="0"/>
              <w:jc w:val="both"/>
              <w:rPr>
                <w:b/>
              </w:rPr>
            </w:pPr>
            <w:r w:rsidRPr="007920A9">
              <w:rPr>
                <w:b/>
                <w:bCs/>
              </w:rPr>
              <w:t>Très Élevée</w:t>
            </w:r>
          </w:p>
        </w:tc>
        <w:tc>
          <w:tcPr>
            <w:tcW w:w="1276" w:type="dxa"/>
            <w:shd w:val="clear" w:color="auto" w:fill="auto"/>
            <w:vAlign w:val="center"/>
          </w:tcPr>
          <w:p w14:paraId="00950DA1" w14:textId="338D8806" w:rsidR="00AC3700" w:rsidRPr="007920A9" w:rsidRDefault="002919DB" w:rsidP="00026C12">
            <w:pPr>
              <w:spacing w:after="0"/>
              <w:jc w:val="both"/>
              <w:rPr>
                <w:highlight w:val="lightGray"/>
              </w:rPr>
            </w:pPr>
            <w:r w:rsidRPr="002919DB">
              <w:rPr>
                <w:b/>
                <w:bCs/>
                <w:sz w:val="24"/>
                <w:highlight w:val="green"/>
              </w:rPr>
              <w:t>VERT</w:t>
            </w:r>
          </w:p>
        </w:tc>
        <w:tc>
          <w:tcPr>
            <w:tcW w:w="4252" w:type="dxa"/>
            <w:vAlign w:val="center"/>
          </w:tcPr>
          <w:p w14:paraId="71389C52" w14:textId="309C34EE" w:rsidR="00AC3700" w:rsidRPr="007920A9" w:rsidRDefault="002919DB" w:rsidP="00026C12">
            <w:pPr>
              <w:spacing w:after="0"/>
              <w:jc w:val="both"/>
            </w:pPr>
            <w:r w:rsidRPr="002919DB">
              <w:t>La BM supporte l’UAE pour l’implémentation des engagements du plan d’action OGP. Le plan d’action Open Data pourrait être financé par ce biais, ainsi que par d’autres projets sectoriels. D’autres bailleurs comme l’OCDE financent déjà des sujets en rapport avec l’Open Data. Enfin, les ministères déjà engagé</w:t>
            </w:r>
            <w:r w:rsidR="00733310">
              <w:t>s</w:t>
            </w:r>
            <w:r w:rsidRPr="002919DB">
              <w:t xml:space="preserve"> dans la publication de données utilise</w:t>
            </w:r>
            <w:r w:rsidR="00733310">
              <w:t>nt</w:t>
            </w:r>
            <w:r w:rsidRPr="002919DB">
              <w:t xml:space="preserve"> leurs fonds propres pour la plupart. </w:t>
            </w:r>
          </w:p>
        </w:tc>
      </w:tr>
      <w:tr w:rsidR="00026C12" w:rsidRPr="007920A9" w14:paraId="5034C239" w14:textId="77777777" w:rsidTr="00A52A88">
        <w:tc>
          <w:tcPr>
            <w:tcW w:w="1951" w:type="dxa"/>
            <w:vAlign w:val="center"/>
          </w:tcPr>
          <w:p w14:paraId="48F96D02" w14:textId="0EF69A25" w:rsidR="00AC3700" w:rsidRPr="007920A9" w:rsidRDefault="002B413B" w:rsidP="00026C12">
            <w:pPr>
              <w:spacing w:after="0"/>
              <w:jc w:val="both"/>
              <w:rPr>
                <w:b/>
              </w:rPr>
            </w:pPr>
            <w:r w:rsidRPr="007920A9">
              <w:rPr>
                <w:b/>
              </w:rPr>
              <w:t>Ressources disponibles</w:t>
            </w:r>
            <w:r w:rsidR="00AC3700" w:rsidRPr="007920A9">
              <w:rPr>
                <w:b/>
              </w:rPr>
              <w:t xml:space="preserve"> pour le financement d’e-service</w:t>
            </w:r>
          </w:p>
        </w:tc>
        <w:tc>
          <w:tcPr>
            <w:tcW w:w="1701" w:type="dxa"/>
            <w:vAlign w:val="center"/>
          </w:tcPr>
          <w:p w14:paraId="23D7B9F3" w14:textId="77777777" w:rsidR="00AC3700" w:rsidRPr="007920A9" w:rsidRDefault="00AC3700" w:rsidP="00026C12">
            <w:pPr>
              <w:spacing w:after="0"/>
              <w:jc w:val="both"/>
              <w:rPr>
                <w:b/>
              </w:rPr>
            </w:pPr>
            <w:r w:rsidRPr="007920A9">
              <w:rPr>
                <w:b/>
                <w:bCs/>
              </w:rPr>
              <w:t>Élevée</w:t>
            </w:r>
          </w:p>
        </w:tc>
        <w:tc>
          <w:tcPr>
            <w:tcW w:w="1276" w:type="dxa"/>
            <w:tcBorders>
              <w:bottom w:val="single" w:sz="4" w:space="0" w:color="auto"/>
            </w:tcBorders>
            <w:shd w:val="clear" w:color="auto" w:fill="auto"/>
            <w:vAlign w:val="center"/>
          </w:tcPr>
          <w:p w14:paraId="2605590D" w14:textId="695D3394" w:rsidR="00AC3700" w:rsidRPr="007920A9" w:rsidRDefault="002919DB" w:rsidP="00026C12">
            <w:pPr>
              <w:spacing w:after="0"/>
              <w:jc w:val="both"/>
              <w:rPr>
                <w:highlight w:val="yellow"/>
              </w:rPr>
            </w:pPr>
            <w:r w:rsidRPr="002919DB">
              <w:rPr>
                <w:b/>
                <w:bCs/>
                <w:sz w:val="24"/>
                <w:highlight w:val="yellow"/>
              </w:rPr>
              <w:t>JAUNE</w:t>
            </w:r>
          </w:p>
        </w:tc>
        <w:tc>
          <w:tcPr>
            <w:tcW w:w="4252" w:type="dxa"/>
            <w:vAlign w:val="center"/>
          </w:tcPr>
          <w:p w14:paraId="3635FCEC" w14:textId="3E10D8F7" w:rsidR="00AC3700" w:rsidRPr="00CD1458" w:rsidRDefault="001D5402" w:rsidP="00026C12">
            <w:pPr>
              <w:pStyle w:val="En-tte"/>
              <w:tabs>
                <w:tab w:val="clear" w:pos="4513"/>
                <w:tab w:val="clear" w:pos="9026"/>
              </w:tabs>
              <w:spacing w:before="0" w:after="0"/>
              <w:jc w:val="both"/>
              <w:rPr>
                <w:sz w:val="22"/>
                <w:szCs w:val="22"/>
                <w:lang w:val="fr-FR"/>
              </w:rPr>
            </w:pPr>
            <w:r w:rsidRPr="001D5402">
              <w:rPr>
                <w:lang w:val="fr-FR"/>
              </w:rPr>
              <w:t>Plusieurs applications</w:t>
            </w:r>
            <w:r>
              <w:rPr>
                <w:lang w:val="fr-FR"/>
              </w:rPr>
              <w:t xml:space="preserve"> sont financées en interne</w:t>
            </w:r>
            <w:r w:rsidRPr="001D5402">
              <w:rPr>
                <w:lang w:val="fr-FR"/>
              </w:rPr>
              <w:t xml:space="preserve"> comme l’engagement du MIT sur le plan d’action OGP concernant le développement d’application</w:t>
            </w:r>
            <w:r>
              <w:rPr>
                <w:lang w:val="fr-FR"/>
              </w:rPr>
              <w:t>s</w:t>
            </w:r>
            <w:r w:rsidRPr="001D5402">
              <w:rPr>
                <w:lang w:val="fr-FR"/>
              </w:rPr>
              <w:t xml:space="preserve"> de transport</w:t>
            </w:r>
            <w:r>
              <w:rPr>
                <w:lang w:val="fr-FR"/>
              </w:rPr>
              <w:t xml:space="preserve">. Le fond des TIC du MTCEN pourrait être également sollicité. Cependant, à l’exception du cas particulier du MIT, il n’a pas été identifié de ressources spécifiques pour </w:t>
            </w:r>
            <w:r w:rsidR="00733310">
              <w:rPr>
                <w:lang w:val="fr-FR"/>
              </w:rPr>
              <w:t>le</w:t>
            </w:r>
            <w:r>
              <w:rPr>
                <w:lang w:val="fr-FR"/>
              </w:rPr>
              <w:t xml:space="preserve"> développement d’application</w:t>
            </w:r>
            <w:r w:rsidR="00733310">
              <w:rPr>
                <w:lang w:val="fr-FR"/>
              </w:rPr>
              <w:t>s</w:t>
            </w:r>
            <w:r>
              <w:rPr>
                <w:lang w:val="fr-FR"/>
              </w:rPr>
              <w:t xml:space="preserve"> en dehors de celles mentionné</w:t>
            </w:r>
            <w:r w:rsidR="00733310">
              <w:rPr>
                <w:lang w:val="fr-FR"/>
              </w:rPr>
              <w:t>es</w:t>
            </w:r>
            <w:r>
              <w:rPr>
                <w:lang w:val="fr-FR"/>
              </w:rPr>
              <w:t xml:space="preserve"> à la question 7.1</w:t>
            </w:r>
          </w:p>
        </w:tc>
      </w:tr>
      <w:tr w:rsidR="00026C12" w:rsidRPr="007920A9" w14:paraId="078E43DB" w14:textId="77777777" w:rsidTr="00A52A88">
        <w:tc>
          <w:tcPr>
            <w:tcW w:w="1951" w:type="dxa"/>
            <w:vAlign w:val="center"/>
          </w:tcPr>
          <w:p w14:paraId="130BF268" w14:textId="77777777" w:rsidR="00AC3700" w:rsidRPr="007920A9" w:rsidRDefault="00AC3700" w:rsidP="00026C12">
            <w:pPr>
              <w:spacing w:after="0"/>
              <w:jc w:val="both"/>
              <w:rPr>
                <w:b/>
              </w:rPr>
            </w:pPr>
            <w:r w:rsidRPr="007920A9">
              <w:rPr>
                <w:b/>
              </w:rPr>
              <w:t>Infrastructure et renforcement des capacités pour le lancement d’un programme d’Open Data</w:t>
            </w:r>
          </w:p>
        </w:tc>
        <w:tc>
          <w:tcPr>
            <w:tcW w:w="1701" w:type="dxa"/>
            <w:vAlign w:val="center"/>
          </w:tcPr>
          <w:p w14:paraId="4C5F3042" w14:textId="77777777" w:rsidR="00AC3700" w:rsidRPr="007920A9" w:rsidRDefault="00AC3700" w:rsidP="00026C12">
            <w:pPr>
              <w:spacing w:after="0"/>
              <w:jc w:val="both"/>
              <w:rPr>
                <w:b/>
              </w:rPr>
            </w:pPr>
            <w:r w:rsidRPr="007920A9">
              <w:rPr>
                <w:b/>
              </w:rPr>
              <w:t xml:space="preserve">Moyennement </w:t>
            </w:r>
            <w:r w:rsidRPr="007920A9">
              <w:rPr>
                <w:b/>
                <w:bCs/>
              </w:rPr>
              <w:t>Élevée</w:t>
            </w:r>
          </w:p>
        </w:tc>
        <w:tc>
          <w:tcPr>
            <w:tcW w:w="1276" w:type="dxa"/>
            <w:tcBorders>
              <w:bottom w:val="single" w:sz="4" w:space="0" w:color="auto"/>
            </w:tcBorders>
            <w:shd w:val="clear" w:color="auto" w:fill="auto"/>
            <w:vAlign w:val="center"/>
          </w:tcPr>
          <w:p w14:paraId="7ACB41D1" w14:textId="4127DE6E" w:rsidR="00AC3700" w:rsidRPr="007920A9" w:rsidRDefault="002919DB" w:rsidP="00026C12">
            <w:pPr>
              <w:spacing w:after="0"/>
              <w:jc w:val="both"/>
              <w:rPr>
                <w:b/>
                <w:highlight w:val="yellow"/>
              </w:rPr>
            </w:pPr>
            <w:r w:rsidRPr="002919DB">
              <w:rPr>
                <w:b/>
                <w:bCs/>
                <w:sz w:val="24"/>
                <w:highlight w:val="yellow"/>
              </w:rPr>
              <w:t>JAUNE</w:t>
            </w:r>
          </w:p>
        </w:tc>
        <w:tc>
          <w:tcPr>
            <w:tcW w:w="4252" w:type="dxa"/>
            <w:vAlign w:val="center"/>
          </w:tcPr>
          <w:p w14:paraId="62A8FA11" w14:textId="3604909C" w:rsidR="00AC3700" w:rsidRPr="001D5402" w:rsidRDefault="001D5402" w:rsidP="00026C12">
            <w:pPr>
              <w:spacing w:after="0"/>
              <w:jc w:val="both"/>
            </w:pPr>
            <w:r>
              <w:t>Tous les ministères disposent d’un budget de formation. Sur demande de l’UAE, l’open data a été ajouté au plan de formation fourni par la PG aux ministères. Cependant, il n’y a aucun regard de la PG ou de l’UAE sur les formations dispensées et les personnels sélectionnés</w:t>
            </w:r>
          </w:p>
        </w:tc>
      </w:tr>
      <w:tr w:rsidR="00CD1458" w:rsidRPr="007920A9" w14:paraId="014475F8" w14:textId="77777777" w:rsidTr="00A52A88">
        <w:tc>
          <w:tcPr>
            <w:tcW w:w="1951" w:type="dxa"/>
            <w:tcBorders>
              <w:bottom w:val="single" w:sz="4" w:space="0" w:color="auto"/>
            </w:tcBorders>
            <w:vAlign w:val="center"/>
          </w:tcPr>
          <w:p w14:paraId="77CDEEB0" w14:textId="77777777" w:rsidR="00CD1458" w:rsidRPr="007920A9" w:rsidRDefault="00CD1458" w:rsidP="00CD1458">
            <w:pPr>
              <w:spacing w:after="0"/>
              <w:jc w:val="both"/>
              <w:rPr>
                <w:b/>
              </w:rPr>
            </w:pPr>
            <w:r w:rsidRPr="007920A9">
              <w:rPr>
                <w:b/>
              </w:rPr>
              <w:t>Financement pour l’innovation</w:t>
            </w:r>
          </w:p>
        </w:tc>
        <w:tc>
          <w:tcPr>
            <w:tcW w:w="1701" w:type="dxa"/>
            <w:tcBorders>
              <w:bottom w:val="single" w:sz="4" w:space="0" w:color="auto"/>
            </w:tcBorders>
            <w:vAlign w:val="center"/>
          </w:tcPr>
          <w:p w14:paraId="324AD6BE" w14:textId="77777777" w:rsidR="00CD1458" w:rsidRPr="007920A9" w:rsidRDefault="00CD1458" w:rsidP="00CD1458">
            <w:pPr>
              <w:spacing w:after="0"/>
              <w:jc w:val="both"/>
              <w:rPr>
                <w:b/>
              </w:rPr>
            </w:pPr>
            <w:r w:rsidRPr="007920A9">
              <w:rPr>
                <w:b/>
              </w:rPr>
              <w:t xml:space="preserve">Moyennement </w:t>
            </w:r>
            <w:r w:rsidRPr="007920A9">
              <w:rPr>
                <w:b/>
                <w:bCs/>
              </w:rPr>
              <w:t>Élevée</w:t>
            </w:r>
          </w:p>
        </w:tc>
        <w:tc>
          <w:tcPr>
            <w:tcW w:w="1276" w:type="dxa"/>
            <w:tcBorders>
              <w:bottom w:val="single" w:sz="4" w:space="0" w:color="auto"/>
            </w:tcBorders>
            <w:shd w:val="clear" w:color="auto" w:fill="auto"/>
            <w:vAlign w:val="center"/>
          </w:tcPr>
          <w:p w14:paraId="7C1CF3C9" w14:textId="5F19DBDC" w:rsidR="00CD1458" w:rsidRPr="007920A9" w:rsidRDefault="002919DB" w:rsidP="00CD1458">
            <w:pPr>
              <w:spacing w:after="0"/>
              <w:jc w:val="both"/>
              <w:rPr>
                <w:highlight w:val="yellow"/>
              </w:rPr>
            </w:pPr>
            <w:r w:rsidRPr="002919DB">
              <w:rPr>
                <w:b/>
                <w:bCs/>
                <w:sz w:val="24"/>
                <w:highlight w:val="yellow"/>
              </w:rPr>
              <w:t>JAUNE</w:t>
            </w:r>
            <w:r>
              <w:rPr>
                <w:b/>
                <w:bCs/>
                <w:sz w:val="24"/>
              </w:rPr>
              <w:t>/</w:t>
            </w:r>
            <w:r w:rsidR="00485A96">
              <w:rPr>
                <w:b/>
                <w:bCs/>
                <w:sz w:val="24"/>
              </w:rPr>
              <w:t xml:space="preserve"> </w:t>
            </w:r>
            <w:r w:rsidRPr="002919DB">
              <w:rPr>
                <w:b/>
                <w:bCs/>
                <w:sz w:val="24"/>
                <w:highlight w:val="green"/>
              </w:rPr>
              <w:t>VERT</w:t>
            </w:r>
          </w:p>
        </w:tc>
        <w:tc>
          <w:tcPr>
            <w:tcW w:w="4252" w:type="dxa"/>
            <w:vAlign w:val="center"/>
          </w:tcPr>
          <w:p w14:paraId="7DC17222" w14:textId="1A135744" w:rsidR="00CD1458" w:rsidRPr="007920A9" w:rsidRDefault="00D510C6" w:rsidP="00CD1458">
            <w:pPr>
              <w:spacing w:after="0"/>
              <w:jc w:val="both"/>
            </w:pPr>
            <w:r>
              <w:t>Plusieurs mécanisme</w:t>
            </w:r>
            <w:r w:rsidR="00733310">
              <w:t>s</w:t>
            </w:r>
            <w:r>
              <w:t xml:space="preserve"> mis en place par le MTCEN existent mais leur activité et leur efficacité pour développer l’</w:t>
            </w:r>
            <w:r w:rsidR="001D5402">
              <w:t xml:space="preserve">écosystème Open Data sera à </w:t>
            </w:r>
            <w:r w:rsidR="00485A96">
              <w:t>démontrer</w:t>
            </w:r>
            <w:r w:rsidR="004E5EFC">
              <w:t>. Le gouvernement vise un développement des startups et prépare une loi pour les aider.</w:t>
            </w:r>
          </w:p>
        </w:tc>
      </w:tr>
      <w:tr w:rsidR="00CD1458" w:rsidRPr="007920A9" w14:paraId="0FC752D4" w14:textId="77777777" w:rsidTr="00A52A88">
        <w:tc>
          <w:tcPr>
            <w:tcW w:w="1951" w:type="dxa"/>
            <w:shd w:val="clear" w:color="auto" w:fill="auto"/>
            <w:vAlign w:val="center"/>
          </w:tcPr>
          <w:p w14:paraId="3A6E690F" w14:textId="77777777" w:rsidR="00CD1458" w:rsidRPr="007920A9" w:rsidRDefault="00CD1458" w:rsidP="00CD1458">
            <w:pPr>
              <w:spacing w:after="0"/>
              <w:jc w:val="both"/>
              <w:rPr>
                <w:b/>
              </w:rPr>
            </w:pPr>
            <w:r w:rsidRPr="007920A9">
              <w:rPr>
                <w:b/>
              </w:rPr>
              <w:t>Résultat Global</w:t>
            </w:r>
          </w:p>
        </w:tc>
        <w:tc>
          <w:tcPr>
            <w:tcW w:w="1701" w:type="dxa"/>
            <w:shd w:val="clear" w:color="auto" w:fill="auto"/>
            <w:vAlign w:val="center"/>
          </w:tcPr>
          <w:p w14:paraId="38C1469B" w14:textId="77777777" w:rsidR="00CD1458" w:rsidRPr="007920A9" w:rsidRDefault="00CD1458" w:rsidP="00CD1458">
            <w:pPr>
              <w:spacing w:after="0"/>
              <w:jc w:val="both"/>
              <w:rPr>
                <w:b/>
              </w:rPr>
            </w:pPr>
            <w:r w:rsidRPr="007920A9">
              <w:rPr>
                <w:b/>
              </w:rPr>
              <w:t xml:space="preserve">Moyennement </w:t>
            </w:r>
            <w:r w:rsidRPr="007920A9">
              <w:rPr>
                <w:b/>
                <w:bCs/>
              </w:rPr>
              <w:t>Élevée</w:t>
            </w:r>
          </w:p>
        </w:tc>
        <w:tc>
          <w:tcPr>
            <w:tcW w:w="1276" w:type="dxa"/>
            <w:shd w:val="clear" w:color="auto" w:fill="auto"/>
            <w:vAlign w:val="center"/>
          </w:tcPr>
          <w:p w14:paraId="69BE8BA9" w14:textId="46937D03" w:rsidR="00CD1458" w:rsidRPr="007920A9" w:rsidRDefault="002919DB" w:rsidP="00CD1458">
            <w:pPr>
              <w:spacing w:after="0"/>
              <w:jc w:val="both"/>
              <w:rPr>
                <w:highlight w:val="yellow"/>
              </w:rPr>
            </w:pPr>
            <w:r w:rsidRPr="002919DB">
              <w:rPr>
                <w:b/>
                <w:bCs/>
                <w:sz w:val="24"/>
                <w:highlight w:val="green"/>
              </w:rPr>
              <w:t>VERT</w:t>
            </w:r>
          </w:p>
        </w:tc>
        <w:tc>
          <w:tcPr>
            <w:tcW w:w="4252" w:type="dxa"/>
            <w:vAlign w:val="center"/>
          </w:tcPr>
          <w:p w14:paraId="4E00CD0D" w14:textId="45A0C5E7" w:rsidR="00CD1458" w:rsidRPr="007920A9" w:rsidRDefault="00485A96" w:rsidP="00CD1458">
            <w:pPr>
              <w:spacing w:after="0"/>
              <w:jc w:val="both"/>
            </w:pPr>
            <w:r w:rsidRPr="00485A96">
              <w:t>Un ensemble de sources de financement sont disponible</w:t>
            </w:r>
            <w:r w:rsidR="00733310">
              <w:t>s</w:t>
            </w:r>
            <w:r w:rsidRPr="00485A96">
              <w:t xml:space="preserve"> pour mettre en œuvre le plan d’action Open Data. Le fait que beaucoup de ministère</w:t>
            </w:r>
            <w:r w:rsidR="00417CCD">
              <w:t>s</w:t>
            </w:r>
            <w:r w:rsidRPr="00485A96">
              <w:t xml:space="preserve"> utilise</w:t>
            </w:r>
            <w:r w:rsidR="00417CCD">
              <w:t>nt</w:t>
            </w:r>
            <w:r w:rsidRPr="00485A96">
              <w:t xml:space="preserve"> aujourd’hui des fonds propres pour lancer leur initiative permet d’envisager une solution pérenne sur le long terme. Toutefois, il conviendra de vérifier si les mécanismes de support à l’innovation </w:t>
            </w:r>
            <w:r w:rsidR="00417CCD">
              <w:t>s</w:t>
            </w:r>
            <w:r w:rsidRPr="00485A96">
              <w:t>ont efficace</w:t>
            </w:r>
            <w:r w:rsidR="00417CCD">
              <w:t>s</w:t>
            </w:r>
            <w:r w:rsidRPr="00485A96">
              <w:t xml:space="preserve"> pour développer l’écosystème Open Data and permettre l’émergence des startups dans le domaine.</w:t>
            </w:r>
          </w:p>
        </w:tc>
      </w:tr>
    </w:tbl>
    <w:p w14:paraId="6CC14017" w14:textId="77777777" w:rsidR="000B6536" w:rsidRPr="007920A9" w:rsidRDefault="000B6536" w:rsidP="00026C12">
      <w:pPr>
        <w:jc w:val="both"/>
        <w:rPr>
          <w:rFonts w:asciiTheme="majorHAnsi" w:eastAsiaTheme="majorEastAsia" w:hAnsiTheme="majorHAnsi" w:cstheme="majorBidi"/>
          <w:b/>
          <w:bCs/>
          <w:caps/>
          <w:color w:val="FFFFFF" w:themeColor="background1"/>
          <w:sz w:val="28"/>
          <w:szCs w:val="28"/>
        </w:rPr>
      </w:pPr>
      <w:r w:rsidRPr="007920A9">
        <w:br w:type="page"/>
      </w:r>
    </w:p>
    <w:p w14:paraId="4CC4B195" w14:textId="77777777" w:rsidR="008B3687" w:rsidRPr="007920A9" w:rsidRDefault="008B3687" w:rsidP="00C66790">
      <w:pPr>
        <w:pStyle w:val="Titre1"/>
        <w:jc w:val="left"/>
      </w:pPr>
      <w:bookmarkStart w:id="28" w:name="_Toc459307842"/>
      <w:bookmarkStart w:id="29" w:name="_Toc496544783"/>
      <w:r w:rsidRPr="007920A9">
        <w:t>Infrastructures nationales technologiques et compétences informatiques</w:t>
      </w:r>
      <w:bookmarkEnd w:id="28"/>
      <w:bookmarkEnd w:id="29"/>
    </w:p>
    <w:p w14:paraId="30DD8B74" w14:textId="73A76A2C" w:rsidR="008B3687" w:rsidRPr="007920A9" w:rsidRDefault="008B3687" w:rsidP="00026C12">
      <w:pPr>
        <w:jc w:val="both"/>
        <w:rPr>
          <w:b/>
          <w:bCs/>
          <w:sz w:val="24"/>
          <w:szCs w:val="24"/>
        </w:rPr>
      </w:pPr>
      <w:r w:rsidRPr="007920A9">
        <w:rPr>
          <w:b/>
          <w:bCs/>
          <w:sz w:val="24"/>
          <w:szCs w:val="24"/>
        </w:rPr>
        <w:t>8.1 Quel est l’état de l’écosystème TIC dans le pays ? Quelle(s) technologie(s) est accessible à quelle portion de la population ? (Importance: Élevée)</w:t>
      </w:r>
      <w:r w:rsidR="00026C12" w:rsidRPr="007920A9">
        <w:rPr>
          <w:b/>
          <w:bCs/>
          <w:sz w:val="24"/>
          <w:szCs w:val="24"/>
        </w:rPr>
        <w:t xml:space="preserve"> </w:t>
      </w:r>
      <w:r w:rsidR="003F02D0" w:rsidRPr="003F02D0">
        <w:rPr>
          <w:b/>
          <w:bCs/>
          <w:sz w:val="24"/>
          <w:szCs w:val="24"/>
          <w:highlight w:val="yellow"/>
        </w:rPr>
        <w:t>JAUNE</w:t>
      </w:r>
      <w:r w:rsidR="003F02D0">
        <w:rPr>
          <w:b/>
          <w:bCs/>
          <w:sz w:val="24"/>
          <w:szCs w:val="24"/>
        </w:rPr>
        <w:t>/</w:t>
      </w:r>
      <w:r w:rsidR="003F02D0" w:rsidRPr="003F02D0">
        <w:rPr>
          <w:b/>
          <w:bCs/>
          <w:sz w:val="24"/>
          <w:szCs w:val="24"/>
          <w:highlight w:val="green"/>
        </w:rPr>
        <w:t>VERT</w:t>
      </w:r>
    </w:p>
    <w:p w14:paraId="3E3BB150" w14:textId="5399A1AC" w:rsidR="00C261A9" w:rsidRPr="00AA74BF" w:rsidRDefault="001729D9" w:rsidP="00D5699E">
      <w:pPr>
        <w:pStyle w:val="Paragraphedeliste"/>
        <w:numPr>
          <w:ilvl w:val="0"/>
          <w:numId w:val="46"/>
        </w:numPr>
        <w:jc w:val="both"/>
        <w:rPr>
          <w:bCs/>
          <w:sz w:val="24"/>
          <w:szCs w:val="24"/>
        </w:rPr>
      </w:pPr>
      <w:r>
        <w:rPr>
          <w:bCs/>
          <w:sz w:val="24"/>
          <w:szCs w:val="24"/>
        </w:rPr>
        <w:t>Une majorité de</w:t>
      </w:r>
      <w:r w:rsidR="00C261A9" w:rsidRPr="00AA74BF">
        <w:rPr>
          <w:bCs/>
          <w:sz w:val="24"/>
          <w:szCs w:val="24"/>
        </w:rPr>
        <w:t>s agences de l’état ont un site Web à jour et propose leur contenu en Français et en Arabe</w:t>
      </w:r>
      <w:r w:rsidR="00AA60B2" w:rsidRPr="00AA74BF">
        <w:rPr>
          <w:bCs/>
          <w:sz w:val="24"/>
          <w:szCs w:val="24"/>
        </w:rPr>
        <w:t xml:space="preserve"> voire en Anglais.</w:t>
      </w:r>
    </w:p>
    <w:p w14:paraId="2BD64EA5" w14:textId="4B124C9A" w:rsidR="00C261A9" w:rsidRDefault="00C261A9" w:rsidP="00D5699E">
      <w:pPr>
        <w:pStyle w:val="Paragraphedeliste"/>
        <w:numPr>
          <w:ilvl w:val="0"/>
          <w:numId w:val="45"/>
        </w:numPr>
        <w:jc w:val="both"/>
        <w:rPr>
          <w:bCs/>
          <w:sz w:val="24"/>
          <w:szCs w:val="24"/>
        </w:rPr>
      </w:pPr>
      <w:r w:rsidRPr="007920A9">
        <w:rPr>
          <w:bCs/>
          <w:sz w:val="24"/>
          <w:szCs w:val="24"/>
        </w:rPr>
        <w:t xml:space="preserve">Le taux de pénétration de la téléphonie mobile est </w:t>
      </w:r>
      <w:r w:rsidR="00AA74BF">
        <w:rPr>
          <w:bCs/>
          <w:sz w:val="24"/>
          <w:szCs w:val="24"/>
        </w:rPr>
        <w:t xml:space="preserve">largement </w:t>
      </w:r>
      <w:r w:rsidRPr="007920A9">
        <w:rPr>
          <w:bCs/>
          <w:sz w:val="24"/>
          <w:szCs w:val="24"/>
        </w:rPr>
        <w:t>supérieur à 100%</w:t>
      </w:r>
      <w:r w:rsidR="00AA74BF">
        <w:rPr>
          <w:rStyle w:val="Appelnotedebasdep"/>
          <w:bCs/>
          <w:sz w:val="24"/>
          <w:szCs w:val="24"/>
        </w:rPr>
        <w:footnoteReference w:id="107"/>
      </w:r>
      <w:r w:rsidRPr="007920A9">
        <w:rPr>
          <w:bCs/>
          <w:sz w:val="24"/>
          <w:szCs w:val="24"/>
        </w:rPr>
        <w:t>, supérieur à la moyenne régionale</w:t>
      </w:r>
    </w:p>
    <w:p w14:paraId="636DFCDF" w14:textId="084417D6" w:rsidR="003F02D0" w:rsidRPr="003F02D0" w:rsidRDefault="00AA74BF" w:rsidP="00D5699E">
      <w:pPr>
        <w:pStyle w:val="Paragraphedeliste"/>
        <w:numPr>
          <w:ilvl w:val="0"/>
          <w:numId w:val="45"/>
        </w:numPr>
        <w:jc w:val="both"/>
        <w:rPr>
          <w:bCs/>
          <w:sz w:val="24"/>
          <w:szCs w:val="24"/>
        </w:rPr>
      </w:pPr>
      <w:r>
        <w:rPr>
          <w:bCs/>
          <w:sz w:val="24"/>
          <w:szCs w:val="24"/>
        </w:rPr>
        <w:t>Environ 45% des abonnés mobiles ont un abonnement 3G/4G</w:t>
      </w:r>
      <w:r w:rsidRPr="00AA74BF">
        <w:rPr>
          <w:bCs/>
          <w:sz w:val="24"/>
          <w:szCs w:val="24"/>
          <w:vertAlign w:val="superscript"/>
        </w:rPr>
        <w:t>54</w:t>
      </w:r>
    </w:p>
    <w:p w14:paraId="3967D2D4" w14:textId="57A1CB98" w:rsidR="003F02D0" w:rsidRDefault="003F02D0" w:rsidP="00D5699E">
      <w:pPr>
        <w:pStyle w:val="Paragraphedeliste"/>
        <w:numPr>
          <w:ilvl w:val="0"/>
          <w:numId w:val="45"/>
        </w:numPr>
        <w:jc w:val="both"/>
        <w:rPr>
          <w:bCs/>
          <w:sz w:val="24"/>
          <w:szCs w:val="24"/>
        </w:rPr>
      </w:pPr>
      <w:r>
        <w:rPr>
          <w:bCs/>
          <w:sz w:val="24"/>
          <w:szCs w:val="24"/>
        </w:rPr>
        <w:t xml:space="preserve">Le taux de pénétration du smartphone est supérieur à 55% </w:t>
      </w:r>
    </w:p>
    <w:p w14:paraId="7311ABB7" w14:textId="089E3BC6" w:rsidR="00F36A43" w:rsidRDefault="00F36A43" w:rsidP="00D5699E">
      <w:pPr>
        <w:pStyle w:val="Paragraphedeliste"/>
        <w:numPr>
          <w:ilvl w:val="0"/>
          <w:numId w:val="45"/>
        </w:numPr>
        <w:jc w:val="both"/>
        <w:rPr>
          <w:bCs/>
          <w:sz w:val="24"/>
          <w:szCs w:val="24"/>
        </w:rPr>
      </w:pPr>
      <w:r>
        <w:rPr>
          <w:bCs/>
          <w:sz w:val="24"/>
          <w:szCs w:val="24"/>
        </w:rPr>
        <w:t>Plusieurs Incubateurs TIC existent (</w:t>
      </w:r>
      <w:r w:rsidR="00280EE0">
        <w:rPr>
          <w:bCs/>
          <w:sz w:val="24"/>
          <w:szCs w:val="24"/>
        </w:rPr>
        <w:t>WikiStartup</w:t>
      </w:r>
      <w:r w:rsidR="00280EE0">
        <w:rPr>
          <w:rStyle w:val="Appelnotedebasdep"/>
          <w:bCs/>
          <w:sz w:val="24"/>
          <w:szCs w:val="24"/>
        </w:rPr>
        <w:footnoteReference w:id="108"/>
      </w:r>
      <w:r w:rsidR="00280EE0">
        <w:rPr>
          <w:bCs/>
          <w:sz w:val="24"/>
          <w:szCs w:val="24"/>
        </w:rPr>
        <w:t xml:space="preserve">, </w:t>
      </w:r>
      <w:r>
        <w:rPr>
          <w:bCs/>
          <w:sz w:val="24"/>
          <w:szCs w:val="24"/>
        </w:rPr>
        <w:t>Esprit</w:t>
      </w:r>
      <w:r>
        <w:rPr>
          <w:rStyle w:val="Appelnotedebasdep"/>
          <w:bCs/>
          <w:sz w:val="24"/>
          <w:szCs w:val="24"/>
        </w:rPr>
        <w:footnoteReference w:id="109"/>
      </w:r>
      <w:r>
        <w:rPr>
          <w:bCs/>
          <w:sz w:val="24"/>
          <w:szCs w:val="24"/>
        </w:rPr>
        <w:t>, Founder Institute</w:t>
      </w:r>
      <w:r>
        <w:rPr>
          <w:rStyle w:val="Appelnotedebasdep"/>
          <w:bCs/>
          <w:sz w:val="24"/>
          <w:szCs w:val="24"/>
        </w:rPr>
        <w:footnoteReference w:id="110"/>
      </w:r>
      <w:r>
        <w:rPr>
          <w:bCs/>
          <w:sz w:val="24"/>
          <w:szCs w:val="24"/>
        </w:rPr>
        <w:t>, Flat6labs</w:t>
      </w:r>
      <w:r>
        <w:rPr>
          <w:rStyle w:val="Appelnotedebasdep"/>
          <w:bCs/>
          <w:sz w:val="24"/>
          <w:szCs w:val="24"/>
        </w:rPr>
        <w:footnoteReference w:id="111"/>
      </w:r>
      <w:r>
        <w:rPr>
          <w:bCs/>
          <w:sz w:val="24"/>
          <w:szCs w:val="24"/>
        </w:rPr>
        <w:t xml:space="preserve">) </w:t>
      </w:r>
    </w:p>
    <w:p w14:paraId="22D6E7BE" w14:textId="16CFF46A" w:rsidR="00F36A43" w:rsidRPr="00F36A43" w:rsidRDefault="002B413B" w:rsidP="00D5699E">
      <w:pPr>
        <w:pStyle w:val="Paragraphedeliste"/>
        <w:numPr>
          <w:ilvl w:val="0"/>
          <w:numId w:val="45"/>
        </w:numPr>
        <w:jc w:val="both"/>
        <w:rPr>
          <w:bCs/>
          <w:sz w:val="24"/>
          <w:szCs w:val="24"/>
        </w:rPr>
      </w:pPr>
      <w:r>
        <w:rPr>
          <w:bCs/>
          <w:sz w:val="24"/>
          <w:szCs w:val="24"/>
        </w:rPr>
        <w:t>Plusieurs espaces</w:t>
      </w:r>
      <w:r w:rsidR="00F36A43">
        <w:rPr>
          <w:bCs/>
          <w:sz w:val="24"/>
          <w:szCs w:val="24"/>
        </w:rPr>
        <w:t xml:space="preserve"> de co-working à Tunis (Cogite</w:t>
      </w:r>
      <w:r w:rsidR="00F36A43">
        <w:rPr>
          <w:rStyle w:val="Appelnotedebasdep"/>
          <w:bCs/>
          <w:sz w:val="24"/>
          <w:szCs w:val="24"/>
        </w:rPr>
        <w:footnoteReference w:id="112"/>
      </w:r>
      <w:r w:rsidR="00F36A43">
        <w:rPr>
          <w:bCs/>
          <w:sz w:val="24"/>
          <w:szCs w:val="24"/>
        </w:rPr>
        <w:t>, El Space</w:t>
      </w:r>
      <w:r w:rsidR="00F36A43">
        <w:rPr>
          <w:rStyle w:val="Appelnotedebasdep"/>
          <w:bCs/>
          <w:sz w:val="24"/>
          <w:szCs w:val="24"/>
        </w:rPr>
        <w:footnoteReference w:id="113"/>
      </w:r>
      <w:r w:rsidR="00F36A43">
        <w:rPr>
          <w:bCs/>
          <w:sz w:val="24"/>
          <w:szCs w:val="24"/>
        </w:rPr>
        <w:t xml:space="preserve">) </w:t>
      </w:r>
    </w:p>
    <w:p w14:paraId="79EF5E8D" w14:textId="08A72E35" w:rsidR="00F36A43" w:rsidRPr="003F02D0" w:rsidRDefault="002B413B" w:rsidP="00D5699E">
      <w:pPr>
        <w:pStyle w:val="Paragraphedeliste"/>
        <w:numPr>
          <w:ilvl w:val="0"/>
          <w:numId w:val="45"/>
        </w:numPr>
        <w:jc w:val="both"/>
        <w:rPr>
          <w:bCs/>
          <w:sz w:val="24"/>
          <w:szCs w:val="24"/>
        </w:rPr>
      </w:pPr>
      <w:r>
        <w:rPr>
          <w:bCs/>
          <w:sz w:val="24"/>
        </w:rPr>
        <w:t>Des programmes privés</w:t>
      </w:r>
      <w:r w:rsidR="00F36A43">
        <w:rPr>
          <w:bCs/>
          <w:sz w:val="24"/>
        </w:rPr>
        <w:t xml:space="preserve"> de support à l’innovation TIC existent (par exemple un programme Orange</w:t>
      </w:r>
      <w:r w:rsidR="00F36A43">
        <w:rPr>
          <w:rStyle w:val="Appelnotedebasdep"/>
          <w:bCs/>
          <w:sz w:val="24"/>
        </w:rPr>
        <w:footnoteReference w:id="114"/>
      </w:r>
      <w:r w:rsidR="00F36A43">
        <w:rPr>
          <w:bCs/>
          <w:sz w:val="24"/>
        </w:rPr>
        <w:t xml:space="preserve">) </w:t>
      </w:r>
    </w:p>
    <w:p w14:paraId="7B625B28" w14:textId="6E0E7DBF" w:rsidR="003F02D0" w:rsidRPr="00516A7A" w:rsidRDefault="003F02D0" w:rsidP="00D5699E">
      <w:pPr>
        <w:pStyle w:val="Paragraphedeliste"/>
        <w:numPr>
          <w:ilvl w:val="0"/>
          <w:numId w:val="45"/>
        </w:numPr>
        <w:jc w:val="both"/>
        <w:rPr>
          <w:bCs/>
          <w:sz w:val="24"/>
          <w:szCs w:val="24"/>
        </w:rPr>
      </w:pPr>
      <w:r>
        <w:rPr>
          <w:bCs/>
          <w:sz w:val="24"/>
        </w:rPr>
        <w:t xml:space="preserve">Plusieurs data </w:t>
      </w:r>
      <w:r w:rsidR="002B413B">
        <w:rPr>
          <w:bCs/>
          <w:sz w:val="24"/>
        </w:rPr>
        <w:t>centers privés</w:t>
      </w:r>
      <w:r w:rsidR="00F10A84">
        <w:rPr>
          <w:bCs/>
          <w:sz w:val="24"/>
        </w:rPr>
        <w:t xml:space="preserve"> </w:t>
      </w:r>
      <w:r>
        <w:rPr>
          <w:bCs/>
          <w:sz w:val="24"/>
        </w:rPr>
        <w:t>sont disponibles</w:t>
      </w:r>
    </w:p>
    <w:p w14:paraId="5165A0C9" w14:textId="628C351A" w:rsidR="00AA60B2" w:rsidRPr="00792ADB" w:rsidRDefault="00516A7A" w:rsidP="00D5699E">
      <w:pPr>
        <w:pStyle w:val="Paragraphedeliste"/>
        <w:numPr>
          <w:ilvl w:val="0"/>
          <w:numId w:val="45"/>
        </w:numPr>
        <w:jc w:val="both"/>
        <w:rPr>
          <w:bCs/>
          <w:sz w:val="24"/>
          <w:szCs w:val="24"/>
        </w:rPr>
      </w:pPr>
      <w:r>
        <w:rPr>
          <w:bCs/>
          <w:sz w:val="24"/>
        </w:rPr>
        <w:t>Le MTCEN a la priorité de couvrir les dernières zones blanches du pays et de s’assurer que l’ensemble de la population à un accès aux TIC à haut débit</w:t>
      </w:r>
    </w:p>
    <w:p w14:paraId="60571102" w14:textId="682C73E1" w:rsidR="008B3687" w:rsidRPr="007920A9" w:rsidRDefault="008B3687" w:rsidP="00026C12">
      <w:pPr>
        <w:jc w:val="both"/>
        <w:rPr>
          <w:b/>
          <w:bCs/>
          <w:sz w:val="24"/>
          <w:szCs w:val="24"/>
        </w:rPr>
      </w:pPr>
      <w:r w:rsidRPr="007920A9">
        <w:rPr>
          <w:b/>
          <w:bCs/>
          <w:sz w:val="24"/>
          <w:szCs w:val="24"/>
        </w:rPr>
        <w:t>8.2 Quel est le niveau et le co</w:t>
      </w:r>
      <w:r w:rsidR="00B45D25">
        <w:rPr>
          <w:b/>
          <w:bCs/>
          <w:sz w:val="24"/>
          <w:szCs w:val="24"/>
        </w:rPr>
        <w:t>û</w:t>
      </w:r>
      <w:r w:rsidRPr="007920A9">
        <w:rPr>
          <w:b/>
          <w:bCs/>
          <w:sz w:val="24"/>
          <w:szCs w:val="24"/>
        </w:rPr>
        <w:t>t d’accès à l’internet, soit par connexion fixe soit par mobile ? (Importance : Élevée)</w:t>
      </w:r>
      <w:r w:rsidR="00026C12" w:rsidRPr="007920A9">
        <w:rPr>
          <w:b/>
          <w:bCs/>
          <w:sz w:val="24"/>
          <w:szCs w:val="24"/>
        </w:rPr>
        <w:t xml:space="preserve"> </w:t>
      </w:r>
      <w:r w:rsidR="003F02D0" w:rsidRPr="003F02D0">
        <w:rPr>
          <w:b/>
          <w:bCs/>
          <w:sz w:val="24"/>
          <w:szCs w:val="24"/>
          <w:highlight w:val="green"/>
        </w:rPr>
        <w:t>VERT</w:t>
      </w:r>
    </w:p>
    <w:p w14:paraId="07346255" w14:textId="54022CCD" w:rsidR="002F76C7" w:rsidRPr="007920A9" w:rsidRDefault="006F04A3" w:rsidP="001C539E">
      <w:pPr>
        <w:pStyle w:val="Paragraphedeliste"/>
        <w:numPr>
          <w:ilvl w:val="0"/>
          <w:numId w:val="27"/>
        </w:numPr>
        <w:jc w:val="both"/>
        <w:rPr>
          <w:bCs/>
          <w:iCs/>
          <w:sz w:val="24"/>
          <w:szCs w:val="24"/>
        </w:rPr>
      </w:pPr>
      <w:r w:rsidRPr="007920A9">
        <w:rPr>
          <w:bCs/>
          <w:iCs/>
          <w:sz w:val="24"/>
          <w:szCs w:val="24"/>
        </w:rPr>
        <w:t>Données clés du secteur des télécom</w:t>
      </w:r>
      <w:r w:rsidR="00844052">
        <w:rPr>
          <w:bCs/>
          <w:iCs/>
          <w:sz w:val="24"/>
          <w:szCs w:val="24"/>
        </w:rPr>
        <w:t xml:space="preserve"> </w:t>
      </w:r>
      <w:r w:rsidRPr="007920A9">
        <w:rPr>
          <w:bCs/>
          <w:iCs/>
          <w:sz w:val="24"/>
          <w:szCs w:val="24"/>
        </w:rPr>
        <w:t>:</w:t>
      </w:r>
      <w:r w:rsidR="00C261A9" w:rsidRPr="007920A9">
        <w:rPr>
          <w:bCs/>
          <w:iCs/>
          <w:sz w:val="24"/>
          <w:szCs w:val="24"/>
        </w:rPr>
        <w:t xml:space="preserve"> D’après l’</w:t>
      </w:r>
      <w:r w:rsidR="005954DB">
        <w:rPr>
          <w:bCs/>
          <w:iCs/>
          <w:sz w:val="24"/>
          <w:szCs w:val="24"/>
        </w:rPr>
        <w:t>INT et son rapport du premier trimestre 2017</w:t>
      </w:r>
      <w:r w:rsidR="00430ED9">
        <w:rPr>
          <w:rStyle w:val="Appelnotedebasdep"/>
          <w:bCs/>
          <w:iCs/>
          <w:sz w:val="24"/>
          <w:szCs w:val="24"/>
        </w:rPr>
        <w:footnoteReference w:id="115"/>
      </w:r>
      <w:r w:rsidR="00C261A9" w:rsidRPr="007920A9">
        <w:rPr>
          <w:bCs/>
          <w:iCs/>
          <w:sz w:val="24"/>
          <w:szCs w:val="24"/>
        </w:rPr>
        <w:t xml:space="preserve">, le taux de pénétration de la téléphonie </w:t>
      </w:r>
      <w:r w:rsidR="00430ED9">
        <w:rPr>
          <w:bCs/>
          <w:iCs/>
          <w:sz w:val="24"/>
          <w:szCs w:val="24"/>
        </w:rPr>
        <w:t>mobile est supérieur à 100% (124,4</w:t>
      </w:r>
      <w:r w:rsidR="00C261A9" w:rsidRPr="007920A9">
        <w:rPr>
          <w:bCs/>
          <w:iCs/>
          <w:sz w:val="24"/>
          <w:szCs w:val="24"/>
        </w:rPr>
        <w:t>%). Le pay</w:t>
      </w:r>
      <w:r w:rsidR="00430ED9">
        <w:rPr>
          <w:bCs/>
          <w:iCs/>
          <w:sz w:val="24"/>
          <w:szCs w:val="24"/>
        </w:rPr>
        <w:t>s compte aujourd’hui plus de 14.2</w:t>
      </w:r>
      <w:r w:rsidR="00C261A9" w:rsidRPr="007920A9">
        <w:rPr>
          <w:bCs/>
          <w:iCs/>
          <w:sz w:val="24"/>
          <w:szCs w:val="24"/>
        </w:rPr>
        <w:t xml:space="preserve"> millions d’abonnés actifs et la téléphonie mobile est l’infrastructure la plus développée en termes de télécommunication</w:t>
      </w:r>
      <w:r w:rsidR="00430ED9">
        <w:rPr>
          <w:bCs/>
          <w:iCs/>
          <w:sz w:val="24"/>
          <w:szCs w:val="24"/>
        </w:rPr>
        <w:t>. Il y a au total 4</w:t>
      </w:r>
      <w:r w:rsidR="00C261A9" w:rsidRPr="007920A9">
        <w:rPr>
          <w:bCs/>
          <w:iCs/>
          <w:sz w:val="24"/>
          <w:szCs w:val="24"/>
        </w:rPr>
        <w:t xml:space="preserve"> opérateurs de téléphonie mobile, </w:t>
      </w:r>
      <w:r w:rsidR="00430ED9">
        <w:rPr>
          <w:bCs/>
          <w:iCs/>
          <w:sz w:val="24"/>
          <w:szCs w:val="24"/>
        </w:rPr>
        <w:t>Orange</w:t>
      </w:r>
      <w:r w:rsidR="00C261A9" w:rsidRPr="007920A9">
        <w:rPr>
          <w:bCs/>
          <w:iCs/>
          <w:sz w:val="24"/>
          <w:szCs w:val="24"/>
        </w:rPr>
        <w:t xml:space="preserve"> (</w:t>
      </w:r>
      <w:r w:rsidR="00430ED9">
        <w:rPr>
          <w:bCs/>
          <w:iCs/>
          <w:sz w:val="24"/>
          <w:szCs w:val="24"/>
        </w:rPr>
        <w:t>26.1% du marché</w:t>
      </w:r>
      <w:r w:rsidR="00C261A9" w:rsidRPr="007920A9">
        <w:rPr>
          <w:bCs/>
          <w:iCs/>
          <w:sz w:val="24"/>
          <w:szCs w:val="24"/>
        </w:rPr>
        <w:t xml:space="preserve">), </w:t>
      </w:r>
      <w:r w:rsidR="00430ED9">
        <w:rPr>
          <w:bCs/>
          <w:iCs/>
          <w:sz w:val="24"/>
          <w:szCs w:val="24"/>
        </w:rPr>
        <w:t>Tunisie Telecom</w:t>
      </w:r>
      <w:r w:rsidR="00C261A9" w:rsidRPr="007920A9">
        <w:rPr>
          <w:bCs/>
          <w:iCs/>
          <w:sz w:val="24"/>
          <w:szCs w:val="24"/>
        </w:rPr>
        <w:t xml:space="preserve"> (3</w:t>
      </w:r>
      <w:r w:rsidR="00430ED9">
        <w:rPr>
          <w:bCs/>
          <w:iCs/>
          <w:sz w:val="24"/>
          <w:szCs w:val="24"/>
        </w:rPr>
        <w:t>1,9</w:t>
      </w:r>
      <w:r w:rsidR="00C261A9" w:rsidRPr="007920A9">
        <w:rPr>
          <w:bCs/>
          <w:iCs/>
          <w:sz w:val="24"/>
          <w:szCs w:val="24"/>
        </w:rPr>
        <w:t>% du mar</w:t>
      </w:r>
      <w:r w:rsidR="00430ED9">
        <w:rPr>
          <w:bCs/>
          <w:iCs/>
          <w:sz w:val="24"/>
          <w:szCs w:val="24"/>
        </w:rPr>
        <w:t>ché</w:t>
      </w:r>
      <w:r w:rsidR="00C261A9" w:rsidRPr="007920A9">
        <w:rPr>
          <w:bCs/>
          <w:iCs/>
          <w:sz w:val="24"/>
          <w:szCs w:val="24"/>
        </w:rPr>
        <w:t>)</w:t>
      </w:r>
      <w:r w:rsidR="00430ED9">
        <w:rPr>
          <w:bCs/>
          <w:iCs/>
          <w:sz w:val="24"/>
          <w:szCs w:val="24"/>
        </w:rPr>
        <w:t>,</w:t>
      </w:r>
      <w:r w:rsidR="0059158A">
        <w:rPr>
          <w:bCs/>
          <w:iCs/>
          <w:sz w:val="24"/>
          <w:szCs w:val="24"/>
        </w:rPr>
        <w:t xml:space="preserve"> </w:t>
      </w:r>
      <w:r w:rsidR="00430ED9">
        <w:rPr>
          <w:bCs/>
          <w:iCs/>
          <w:sz w:val="24"/>
          <w:szCs w:val="24"/>
        </w:rPr>
        <w:t>Ooredo</w:t>
      </w:r>
      <w:r w:rsidR="00AA5FD4">
        <w:rPr>
          <w:bCs/>
          <w:iCs/>
          <w:sz w:val="24"/>
          <w:szCs w:val="24"/>
        </w:rPr>
        <w:t>o</w:t>
      </w:r>
      <w:r w:rsidR="00430ED9">
        <w:rPr>
          <w:bCs/>
          <w:iCs/>
          <w:sz w:val="24"/>
          <w:szCs w:val="24"/>
        </w:rPr>
        <w:t xml:space="preserve"> Tunisie (40,2% du marché)</w:t>
      </w:r>
      <w:r w:rsidR="00C261A9" w:rsidRPr="007920A9">
        <w:rPr>
          <w:bCs/>
          <w:iCs/>
          <w:sz w:val="24"/>
          <w:szCs w:val="24"/>
        </w:rPr>
        <w:t xml:space="preserve"> et </w:t>
      </w:r>
      <w:r w:rsidR="00430ED9">
        <w:rPr>
          <w:bCs/>
          <w:iCs/>
          <w:sz w:val="24"/>
          <w:szCs w:val="24"/>
        </w:rPr>
        <w:t>Lycamobile</w:t>
      </w:r>
      <w:r w:rsidR="00C261A9" w:rsidRPr="007920A9">
        <w:rPr>
          <w:bCs/>
          <w:iCs/>
          <w:sz w:val="24"/>
          <w:szCs w:val="24"/>
        </w:rPr>
        <w:t xml:space="preserve"> (1</w:t>
      </w:r>
      <w:r w:rsidR="00430ED9">
        <w:rPr>
          <w:bCs/>
          <w:iCs/>
          <w:sz w:val="24"/>
          <w:szCs w:val="24"/>
        </w:rPr>
        <w:t>,8</w:t>
      </w:r>
      <w:r w:rsidR="00C261A9" w:rsidRPr="007920A9">
        <w:rPr>
          <w:bCs/>
          <w:iCs/>
          <w:sz w:val="24"/>
          <w:szCs w:val="24"/>
        </w:rPr>
        <w:t>% du marché en 2009</w:t>
      </w:r>
      <w:r w:rsidR="002F76C7" w:rsidRPr="007920A9">
        <w:rPr>
          <w:bCs/>
          <w:iCs/>
          <w:sz w:val="24"/>
          <w:szCs w:val="24"/>
        </w:rPr>
        <w:t>) ;</w:t>
      </w:r>
    </w:p>
    <w:p w14:paraId="7FACF9DE" w14:textId="0D302AC0" w:rsidR="002F76C7" w:rsidRPr="00BC2450" w:rsidRDefault="002F76C7" w:rsidP="00D5699E">
      <w:pPr>
        <w:pStyle w:val="Paragraphedeliste"/>
        <w:numPr>
          <w:ilvl w:val="0"/>
          <w:numId w:val="48"/>
        </w:numPr>
        <w:jc w:val="both"/>
        <w:rPr>
          <w:bCs/>
          <w:iCs/>
          <w:sz w:val="24"/>
          <w:szCs w:val="24"/>
        </w:rPr>
      </w:pPr>
      <w:r w:rsidRPr="00BC2450">
        <w:rPr>
          <w:bCs/>
          <w:iCs/>
          <w:sz w:val="24"/>
          <w:szCs w:val="24"/>
        </w:rPr>
        <w:t xml:space="preserve">Concernant l’accès </w:t>
      </w:r>
      <w:r w:rsidR="00430ED9" w:rsidRPr="00BC2450">
        <w:rPr>
          <w:bCs/>
          <w:iCs/>
          <w:sz w:val="24"/>
          <w:szCs w:val="24"/>
        </w:rPr>
        <w:t xml:space="preserve">Internet, le nombre d’abonnés </w:t>
      </w:r>
      <w:r w:rsidRPr="00BC2450">
        <w:rPr>
          <w:bCs/>
          <w:iCs/>
          <w:sz w:val="24"/>
          <w:szCs w:val="24"/>
        </w:rPr>
        <w:t xml:space="preserve">se monte à </w:t>
      </w:r>
      <w:r w:rsidR="00430ED9" w:rsidRPr="00BC2450">
        <w:rPr>
          <w:bCs/>
          <w:iCs/>
          <w:sz w:val="24"/>
          <w:szCs w:val="24"/>
        </w:rPr>
        <w:t>7.25 Millions sur mobile</w:t>
      </w:r>
      <w:r w:rsidRPr="00BC2450">
        <w:rPr>
          <w:bCs/>
          <w:iCs/>
          <w:sz w:val="24"/>
          <w:szCs w:val="24"/>
        </w:rPr>
        <w:t xml:space="preserve">. </w:t>
      </w:r>
      <w:r w:rsidR="00430ED9" w:rsidRPr="00BC2450">
        <w:rPr>
          <w:bCs/>
          <w:iCs/>
          <w:sz w:val="24"/>
          <w:szCs w:val="24"/>
        </w:rPr>
        <w:t>Le</w:t>
      </w:r>
      <w:r w:rsidRPr="00BC2450">
        <w:rPr>
          <w:bCs/>
          <w:iCs/>
          <w:sz w:val="24"/>
          <w:szCs w:val="24"/>
        </w:rPr>
        <w:t xml:space="preserve"> taux de pénétration </w:t>
      </w:r>
      <w:r w:rsidR="00430ED9" w:rsidRPr="00BC2450">
        <w:rPr>
          <w:bCs/>
          <w:iCs/>
          <w:sz w:val="24"/>
          <w:szCs w:val="24"/>
        </w:rPr>
        <w:t>est de 63% de</w:t>
      </w:r>
      <w:r w:rsidR="00E83FF3" w:rsidRPr="00BC2450">
        <w:rPr>
          <w:bCs/>
          <w:iCs/>
          <w:sz w:val="24"/>
          <w:szCs w:val="24"/>
        </w:rPr>
        <w:t xml:space="preserve"> </w:t>
      </w:r>
      <w:r w:rsidR="00430ED9" w:rsidRPr="00BC2450">
        <w:rPr>
          <w:bCs/>
          <w:iCs/>
          <w:sz w:val="24"/>
          <w:szCs w:val="24"/>
        </w:rPr>
        <w:t>la population</w:t>
      </w:r>
      <w:r w:rsidRPr="00BC2450">
        <w:rPr>
          <w:bCs/>
          <w:iCs/>
          <w:sz w:val="24"/>
          <w:szCs w:val="24"/>
        </w:rPr>
        <w:t>.</w:t>
      </w:r>
      <w:r w:rsidR="00430ED9" w:rsidRPr="00BC2450">
        <w:rPr>
          <w:bCs/>
          <w:iCs/>
          <w:sz w:val="24"/>
          <w:szCs w:val="24"/>
        </w:rPr>
        <w:t xml:space="preserve"> </w:t>
      </w:r>
      <w:r w:rsidRPr="00BC2450">
        <w:rPr>
          <w:bCs/>
          <w:iCs/>
          <w:sz w:val="24"/>
          <w:szCs w:val="24"/>
        </w:rPr>
        <w:t xml:space="preserve"> </w:t>
      </w:r>
    </w:p>
    <w:p w14:paraId="1313BEF5" w14:textId="73953DC3" w:rsidR="00430ED9" w:rsidRPr="007920A9" w:rsidRDefault="00430ED9" w:rsidP="001C539E">
      <w:pPr>
        <w:pStyle w:val="Paragraphedeliste"/>
        <w:numPr>
          <w:ilvl w:val="0"/>
          <w:numId w:val="28"/>
        </w:numPr>
        <w:jc w:val="both"/>
        <w:rPr>
          <w:bCs/>
          <w:iCs/>
          <w:sz w:val="24"/>
          <w:szCs w:val="24"/>
        </w:rPr>
      </w:pPr>
      <w:r>
        <w:rPr>
          <w:bCs/>
          <w:iCs/>
          <w:sz w:val="24"/>
          <w:szCs w:val="24"/>
        </w:rPr>
        <w:t>Concernant les infrastructures, la Tunis</w:t>
      </w:r>
      <w:r w:rsidR="00BC2450">
        <w:rPr>
          <w:bCs/>
          <w:iCs/>
          <w:sz w:val="24"/>
          <w:szCs w:val="24"/>
        </w:rPr>
        <w:t>i</w:t>
      </w:r>
      <w:r>
        <w:rPr>
          <w:bCs/>
          <w:iCs/>
          <w:sz w:val="24"/>
          <w:szCs w:val="24"/>
        </w:rPr>
        <w:t>e disposait au premier trimestre d’une connectivité international de 225GB/s</w:t>
      </w:r>
    </w:p>
    <w:p w14:paraId="29FAB32F" w14:textId="218BADC5" w:rsidR="00F003D9" w:rsidRDefault="00F003D9" w:rsidP="001C539E">
      <w:pPr>
        <w:pStyle w:val="Paragraphedeliste"/>
        <w:numPr>
          <w:ilvl w:val="0"/>
          <w:numId w:val="29"/>
        </w:numPr>
        <w:jc w:val="both"/>
        <w:rPr>
          <w:bCs/>
          <w:iCs/>
          <w:sz w:val="24"/>
          <w:szCs w:val="24"/>
        </w:rPr>
      </w:pPr>
      <w:r w:rsidRPr="007920A9">
        <w:rPr>
          <w:bCs/>
          <w:iCs/>
          <w:sz w:val="24"/>
          <w:szCs w:val="24"/>
        </w:rPr>
        <w:t>Concernant l’accessibilité financière des services TIC, Le co</w:t>
      </w:r>
      <w:r w:rsidR="00B45D25">
        <w:rPr>
          <w:bCs/>
          <w:iCs/>
          <w:sz w:val="24"/>
          <w:szCs w:val="24"/>
        </w:rPr>
        <w:t>û</w:t>
      </w:r>
      <w:r w:rsidRPr="007920A9">
        <w:rPr>
          <w:bCs/>
          <w:iCs/>
          <w:sz w:val="24"/>
          <w:szCs w:val="24"/>
        </w:rPr>
        <w:t xml:space="preserve">t de la téléphonie mobile est </w:t>
      </w:r>
      <w:r w:rsidR="00530757">
        <w:rPr>
          <w:bCs/>
          <w:iCs/>
          <w:sz w:val="24"/>
          <w:szCs w:val="24"/>
        </w:rPr>
        <w:t>faible  : 2.5</w:t>
      </w:r>
      <w:r w:rsidRPr="007920A9">
        <w:rPr>
          <w:bCs/>
          <w:iCs/>
          <w:sz w:val="24"/>
          <w:szCs w:val="24"/>
        </w:rPr>
        <w:t>% du revenu moyen mensuel par habitant (source ITU</w:t>
      </w:r>
      <w:r w:rsidRPr="007920A9">
        <w:rPr>
          <w:rStyle w:val="Appelnotedebasdep"/>
          <w:bCs/>
          <w:iCs/>
          <w:sz w:val="24"/>
          <w:szCs w:val="24"/>
        </w:rPr>
        <w:footnoteReference w:id="116"/>
      </w:r>
      <w:r w:rsidR="00530757">
        <w:rPr>
          <w:bCs/>
          <w:iCs/>
          <w:sz w:val="24"/>
          <w:szCs w:val="24"/>
        </w:rPr>
        <w:t xml:space="preserve"> 2016</w:t>
      </w:r>
      <w:r w:rsidRPr="007920A9">
        <w:rPr>
          <w:bCs/>
          <w:iCs/>
          <w:sz w:val="24"/>
          <w:szCs w:val="24"/>
        </w:rPr>
        <w:t>). Pour</w:t>
      </w:r>
      <w:r w:rsidR="00BC2450">
        <w:rPr>
          <w:bCs/>
          <w:iCs/>
          <w:sz w:val="24"/>
          <w:szCs w:val="24"/>
        </w:rPr>
        <w:t xml:space="preserve"> le co</w:t>
      </w:r>
      <w:r w:rsidR="00B45D25">
        <w:rPr>
          <w:bCs/>
          <w:iCs/>
          <w:sz w:val="24"/>
          <w:szCs w:val="24"/>
        </w:rPr>
        <w:t>û</w:t>
      </w:r>
      <w:r w:rsidR="00BC2450">
        <w:rPr>
          <w:bCs/>
          <w:iCs/>
          <w:sz w:val="24"/>
          <w:szCs w:val="24"/>
        </w:rPr>
        <w:t>t de l’accès internet, 3.3</w:t>
      </w:r>
      <w:r w:rsidRPr="007920A9">
        <w:rPr>
          <w:bCs/>
          <w:iCs/>
          <w:sz w:val="24"/>
          <w:szCs w:val="24"/>
        </w:rPr>
        <w:t>% du revenu moyen mensuel par habitant (source ITU</w:t>
      </w:r>
      <w:r w:rsidRPr="007920A9">
        <w:rPr>
          <w:rStyle w:val="Appelnotedebasdep"/>
          <w:bCs/>
          <w:iCs/>
          <w:sz w:val="24"/>
          <w:szCs w:val="24"/>
        </w:rPr>
        <w:footnoteReference w:id="117"/>
      </w:r>
      <w:r w:rsidR="00BC2450">
        <w:rPr>
          <w:bCs/>
          <w:iCs/>
          <w:sz w:val="24"/>
          <w:szCs w:val="24"/>
        </w:rPr>
        <w:t xml:space="preserve"> 2016</w:t>
      </w:r>
      <w:r w:rsidRPr="007920A9">
        <w:rPr>
          <w:bCs/>
          <w:iCs/>
          <w:sz w:val="24"/>
          <w:szCs w:val="24"/>
        </w:rPr>
        <w:t xml:space="preserve">), </w:t>
      </w:r>
      <w:r w:rsidR="00BC2450">
        <w:rPr>
          <w:bCs/>
          <w:iCs/>
          <w:sz w:val="24"/>
          <w:szCs w:val="24"/>
        </w:rPr>
        <w:t>au-dessous</w:t>
      </w:r>
      <w:r w:rsidRPr="007920A9">
        <w:rPr>
          <w:bCs/>
          <w:iCs/>
          <w:sz w:val="24"/>
          <w:szCs w:val="24"/>
        </w:rPr>
        <w:t xml:space="preserve"> de la cible des 5% fixé par les Nations Unies. Ces chiffres s’appuient de plus sur le revenu moyen par habitant au niveau national. </w:t>
      </w:r>
      <w:r w:rsidR="00BC2450">
        <w:rPr>
          <w:bCs/>
          <w:iCs/>
          <w:sz w:val="24"/>
          <w:szCs w:val="24"/>
        </w:rPr>
        <w:t>L</w:t>
      </w:r>
      <w:r w:rsidRPr="007920A9">
        <w:rPr>
          <w:bCs/>
          <w:iCs/>
          <w:sz w:val="24"/>
          <w:szCs w:val="24"/>
        </w:rPr>
        <w:t>es services de téléphonie et d’accès internet mobile s</w:t>
      </w:r>
      <w:r w:rsidR="00BC2450">
        <w:rPr>
          <w:bCs/>
          <w:iCs/>
          <w:sz w:val="24"/>
          <w:szCs w:val="24"/>
        </w:rPr>
        <w:t xml:space="preserve">emblent donc </w:t>
      </w:r>
      <w:r w:rsidRPr="007920A9">
        <w:rPr>
          <w:bCs/>
          <w:iCs/>
          <w:sz w:val="24"/>
          <w:szCs w:val="24"/>
        </w:rPr>
        <w:t xml:space="preserve">accessibles </w:t>
      </w:r>
      <w:r w:rsidR="00BC2450">
        <w:rPr>
          <w:bCs/>
          <w:iCs/>
          <w:sz w:val="24"/>
          <w:szCs w:val="24"/>
        </w:rPr>
        <w:t xml:space="preserve">financièrement </w:t>
      </w:r>
      <w:r w:rsidRPr="007920A9">
        <w:rPr>
          <w:bCs/>
          <w:iCs/>
          <w:sz w:val="24"/>
          <w:szCs w:val="24"/>
        </w:rPr>
        <w:t xml:space="preserve">pour </w:t>
      </w:r>
      <w:r w:rsidR="00BC2450">
        <w:rPr>
          <w:bCs/>
          <w:iCs/>
          <w:sz w:val="24"/>
          <w:szCs w:val="24"/>
        </w:rPr>
        <w:t xml:space="preserve">une grande partie </w:t>
      </w:r>
      <w:r w:rsidR="002B413B">
        <w:rPr>
          <w:bCs/>
          <w:iCs/>
          <w:sz w:val="24"/>
          <w:szCs w:val="24"/>
        </w:rPr>
        <w:t>de la population</w:t>
      </w:r>
      <w:r w:rsidRPr="007920A9">
        <w:rPr>
          <w:bCs/>
          <w:iCs/>
          <w:sz w:val="24"/>
          <w:szCs w:val="24"/>
        </w:rPr>
        <w:t>.</w:t>
      </w:r>
      <w:r w:rsidR="00BC2450">
        <w:rPr>
          <w:bCs/>
          <w:iCs/>
          <w:sz w:val="24"/>
          <w:szCs w:val="24"/>
        </w:rPr>
        <w:t xml:space="preserve"> Cette accessibilité se reflète dans le Network Readiness Index de Forum Economique Mondial</w:t>
      </w:r>
      <w:r w:rsidR="00BC2450">
        <w:rPr>
          <w:rStyle w:val="Appelnotedebasdep"/>
          <w:bCs/>
          <w:iCs/>
          <w:sz w:val="24"/>
          <w:szCs w:val="24"/>
        </w:rPr>
        <w:footnoteReference w:id="118"/>
      </w:r>
      <w:r w:rsidR="00BC2450">
        <w:rPr>
          <w:bCs/>
          <w:iCs/>
          <w:sz w:val="24"/>
          <w:szCs w:val="24"/>
        </w:rPr>
        <w:t>.</w:t>
      </w:r>
    </w:p>
    <w:p w14:paraId="06962E4B" w14:textId="60913655" w:rsidR="00EB4C2C" w:rsidRPr="00EB4C2C" w:rsidRDefault="00EB4C2C" w:rsidP="00EB4C2C">
      <w:pPr>
        <w:pStyle w:val="Paragraphedeliste"/>
        <w:numPr>
          <w:ilvl w:val="0"/>
          <w:numId w:val="129"/>
        </w:numPr>
        <w:jc w:val="both"/>
        <w:rPr>
          <w:bCs/>
          <w:iCs/>
          <w:sz w:val="24"/>
          <w:szCs w:val="24"/>
        </w:rPr>
      </w:pPr>
      <w:r>
        <w:rPr>
          <w:bCs/>
          <w:iCs/>
          <w:sz w:val="24"/>
          <w:szCs w:val="24"/>
        </w:rPr>
        <w:t>Toutefois, il est important de noter que le projet de loi de finance pour 2018 propose une très forte augmentation des taxes sur les télécommunications et les services internet</w:t>
      </w:r>
      <w:r>
        <w:rPr>
          <w:rStyle w:val="Appelnotedebasdep"/>
          <w:bCs/>
          <w:iCs/>
          <w:sz w:val="24"/>
          <w:szCs w:val="24"/>
        </w:rPr>
        <w:footnoteReference w:id="119"/>
      </w:r>
      <w:r>
        <w:rPr>
          <w:bCs/>
          <w:iCs/>
          <w:sz w:val="24"/>
          <w:szCs w:val="24"/>
        </w:rPr>
        <w:t>. Cette augmentation, si elle était votée, aurait probablement un impact fort sur les coûts des services, leur accessibilité financière et donc globalement les taux de pénétration.</w:t>
      </w:r>
    </w:p>
    <w:p w14:paraId="11B8DD88" w14:textId="47DC221E" w:rsidR="00026C12" w:rsidRPr="007920A9" w:rsidRDefault="00021146" w:rsidP="00EB4C2C">
      <w:pPr>
        <w:pStyle w:val="Paragraphedeliste"/>
        <w:numPr>
          <w:ilvl w:val="0"/>
          <w:numId w:val="127"/>
        </w:numPr>
        <w:jc w:val="both"/>
        <w:rPr>
          <w:bCs/>
          <w:iCs/>
          <w:sz w:val="24"/>
          <w:szCs w:val="24"/>
        </w:rPr>
      </w:pPr>
      <w:r>
        <w:rPr>
          <w:bCs/>
          <w:iCs/>
          <w:sz w:val="24"/>
          <w:szCs w:val="24"/>
        </w:rPr>
        <w:t>L’institution</w:t>
      </w:r>
      <w:r w:rsidR="002F76C7" w:rsidRPr="007920A9">
        <w:rPr>
          <w:bCs/>
          <w:iCs/>
          <w:sz w:val="24"/>
          <w:szCs w:val="24"/>
        </w:rPr>
        <w:t xml:space="preserve"> en place </w:t>
      </w:r>
      <w:r>
        <w:rPr>
          <w:bCs/>
          <w:iCs/>
          <w:sz w:val="24"/>
          <w:szCs w:val="24"/>
        </w:rPr>
        <w:t>e</w:t>
      </w:r>
      <w:r w:rsidR="002F76C7" w:rsidRPr="007920A9">
        <w:rPr>
          <w:bCs/>
          <w:iCs/>
          <w:sz w:val="24"/>
          <w:szCs w:val="24"/>
        </w:rPr>
        <w:t xml:space="preserve">st </w:t>
      </w:r>
      <w:r>
        <w:rPr>
          <w:bCs/>
          <w:iCs/>
          <w:sz w:val="24"/>
          <w:szCs w:val="24"/>
        </w:rPr>
        <w:t>l’Instance Nationale des Télécommunications (INT)</w:t>
      </w:r>
      <w:r w:rsidR="00C0262F">
        <w:rPr>
          <w:rStyle w:val="Appelnotedebasdep"/>
          <w:bCs/>
          <w:iCs/>
          <w:sz w:val="24"/>
          <w:szCs w:val="24"/>
        </w:rPr>
        <w:footnoteReference w:id="120"/>
      </w:r>
      <w:r w:rsidR="00C0262F">
        <w:rPr>
          <w:bCs/>
          <w:iCs/>
          <w:sz w:val="24"/>
          <w:szCs w:val="24"/>
        </w:rPr>
        <w:t xml:space="preserve"> </w:t>
      </w:r>
    </w:p>
    <w:p w14:paraId="7C175A82" w14:textId="77777777" w:rsidR="00026C12" w:rsidRPr="007920A9" w:rsidRDefault="00026C12" w:rsidP="00EB4C2C">
      <w:pPr>
        <w:pStyle w:val="Paragraphedeliste"/>
        <w:numPr>
          <w:ilvl w:val="0"/>
          <w:numId w:val="127"/>
        </w:numPr>
        <w:jc w:val="both"/>
        <w:rPr>
          <w:bCs/>
          <w:iCs/>
          <w:sz w:val="24"/>
          <w:szCs w:val="24"/>
        </w:rPr>
      </w:pPr>
      <w:r w:rsidRPr="007920A9">
        <w:rPr>
          <w:bCs/>
          <w:iCs/>
          <w:sz w:val="24"/>
          <w:szCs w:val="24"/>
        </w:rPr>
        <w:t>L’objectif de l’observatoire des TIC est de fournir des outils pour analyser les différents indicateurs internationaux sur les TIC et définir une stratégie efficace pour les améliorer.</w:t>
      </w:r>
    </w:p>
    <w:p w14:paraId="387E969B" w14:textId="6315C28C" w:rsidR="00BC2450" w:rsidRPr="003F02D0" w:rsidRDefault="00026C12" w:rsidP="00D5699E">
      <w:pPr>
        <w:pStyle w:val="Paragraphedeliste"/>
        <w:numPr>
          <w:ilvl w:val="0"/>
          <w:numId w:val="47"/>
        </w:numPr>
        <w:jc w:val="both"/>
        <w:rPr>
          <w:bCs/>
          <w:iCs/>
          <w:sz w:val="24"/>
          <w:szCs w:val="24"/>
        </w:rPr>
      </w:pPr>
      <w:r w:rsidRPr="00BC2450">
        <w:rPr>
          <w:bCs/>
          <w:iCs/>
          <w:sz w:val="24"/>
          <w:szCs w:val="24"/>
        </w:rPr>
        <w:t xml:space="preserve">La </w:t>
      </w:r>
      <w:r w:rsidR="00BC2450" w:rsidRPr="00BC2450">
        <w:rPr>
          <w:bCs/>
          <w:iCs/>
          <w:sz w:val="24"/>
          <w:szCs w:val="24"/>
        </w:rPr>
        <w:t>Tunisie</w:t>
      </w:r>
      <w:r w:rsidRPr="00BC2450">
        <w:rPr>
          <w:bCs/>
          <w:iCs/>
          <w:sz w:val="24"/>
          <w:szCs w:val="24"/>
        </w:rPr>
        <w:t xml:space="preserve"> est cla</w:t>
      </w:r>
      <w:r w:rsidR="00BC2450" w:rsidRPr="00BC2450">
        <w:rPr>
          <w:bCs/>
          <w:iCs/>
          <w:sz w:val="24"/>
          <w:szCs w:val="24"/>
        </w:rPr>
        <w:t>ssée à la 95</w:t>
      </w:r>
      <w:r w:rsidRPr="00BC2450">
        <w:rPr>
          <w:bCs/>
          <w:iCs/>
          <w:sz w:val="24"/>
          <w:szCs w:val="24"/>
          <w:vertAlign w:val="superscript"/>
        </w:rPr>
        <w:t>ème</w:t>
      </w:r>
      <w:r w:rsidRPr="00BC2450">
        <w:rPr>
          <w:bCs/>
          <w:iCs/>
          <w:sz w:val="24"/>
          <w:szCs w:val="24"/>
        </w:rPr>
        <w:t xml:space="preserve"> place de l’index de développement des TIC de l’IUT</w:t>
      </w:r>
      <w:r w:rsidR="00BC2450">
        <w:rPr>
          <w:bCs/>
          <w:iCs/>
          <w:sz w:val="24"/>
          <w:szCs w:val="24"/>
        </w:rPr>
        <w:t xml:space="preserve"> (2016)</w:t>
      </w:r>
      <w:r w:rsidRPr="007920A9">
        <w:rPr>
          <w:rStyle w:val="Appelnotedebasdep"/>
          <w:bCs/>
          <w:iCs/>
          <w:sz w:val="24"/>
          <w:szCs w:val="24"/>
        </w:rPr>
        <w:footnoteReference w:id="121"/>
      </w:r>
      <w:r w:rsidRPr="00BC2450">
        <w:rPr>
          <w:bCs/>
          <w:iCs/>
          <w:sz w:val="24"/>
          <w:szCs w:val="24"/>
        </w:rPr>
        <w:t xml:space="preserve">. </w:t>
      </w:r>
    </w:p>
    <w:p w14:paraId="68D967C2" w14:textId="67AF19CE" w:rsidR="008B3687" w:rsidRDefault="008B3687" w:rsidP="00026C12">
      <w:pPr>
        <w:jc w:val="both"/>
        <w:rPr>
          <w:b/>
          <w:bCs/>
          <w:sz w:val="24"/>
          <w:szCs w:val="24"/>
          <w:highlight w:val="green"/>
        </w:rPr>
      </w:pPr>
      <w:r w:rsidRPr="007920A9">
        <w:rPr>
          <w:b/>
          <w:bCs/>
          <w:sz w:val="24"/>
          <w:szCs w:val="24"/>
        </w:rPr>
        <w:t>8.3 Y-a-t-il des infrastructures de type cloud (stockage, machines virtuelles) facilement exploitables par les citoyens ? (Importance: Moyennement Élevée)</w:t>
      </w:r>
      <w:r w:rsidR="00026C12" w:rsidRPr="007920A9">
        <w:rPr>
          <w:b/>
          <w:bCs/>
          <w:sz w:val="24"/>
          <w:szCs w:val="24"/>
        </w:rPr>
        <w:t xml:space="preserve"> </w:t>
      </w:r>
      <w:r w:rsidR="003F02D0" w:rsidRPr="003F02D0">
        <w:rPr>
          <w:b/>
          <w:bCs/>
          <w:sz w:val="24"/>
          <w:szCs w:val="24"/>
          <w:highlight w:val="green"/>
        </w:rPr>
        <w:t>VERT</w:t>
      </w:r>
      <w:r w:rsidR="00516A7A" w:rsidRPr="00516A7A">
        <w:rPr>
          <w:b/>
          <w:bCs/>
          <w:sz w:val="24"/>
          <w:szCs w:val="24"/>
        </w:rPr>
        <w:t>/</w:t>
      </w:r>
      <w:r w:rsidR="00516A7A" w:rsidRPr="00516A7A">
        <w:rPr>
          <w:b/>
          <w:bCs/>
          <w:sz w:val="24"/>
          <w:szCs w:val="24"/>
          <w:highlight w:val="lightGray"/>
        </w:rPr>
        <w:t>GRIS</w:t>
      </w:r>
    </w:p>
    <w:p w14:paraId="607E1CF0" w14:textId="619BA0B1" w:rsidR="00516A7A" w:rsidRPr="00516A7A" w:rsidRDefault="00516A7A" w:rsidP="00D5699E">
      <w:pPr>
        <w:pStyle w:val="Paragraphedeliste"/>
        <w:numPr>
          <w:ilvl w:val="0"/>
          <w:numId w:val="107"/>
        </w:numPr>
        <w:jc w:val="both"/>
        <w:rPr>
          <w:bCs/>
          <w:sz w:val="24"/>
          <w:szCs w:val="24"/>
        </w:rPr>
      </w:pPr>
      <w:r w:rsidRPr="00516A7A">
        <w:rPr>
          <w:bCs/>
          <w:sz w:val="24"/>
          <w:szCs w:val="24"/>
        </w:rPr>
        <w:t>L’infrastructure TIC que ce soit les ISP, ou les data centers ne semble pas un problème en Tunisie, au moins au niveau de Tunis</w:t>
      </w:r>
    </w:p>
    <w:p w14:paraId="595399F4" w14:textId="4DB5E421" w:rsidR="00516A7A" w:rsidRPr="00516A7A" w:rsidRDefault="00516A7A" w:rsidP="00D5699E">
      <w:pPr>
        <w:pStyle w:val="Paragraphedeliste"/>
        <w:numPr>
          <w:ilvl w:val="0"/>
          <w:numId w:val="108"/>
        </w:numPr>
        <w:jc w:val="both"/>
        <w:rPr>
          <w:bCs/>
          <w:sz w:val="24"/>
          <w:szCs w:val="24"/>
        </w:rPr>
      </w:pPr>
      <w:r w:rsidRPr="00516A7A">
        <w:rPr>
          <w:bCs/>
          <w:sz w:val="24"/>
          <w:szCs w:val="24"/>
        </w:rPr>
        <w:t>Il n’a pas été possible d’évaluer la situation au niveau local</w:t>
      </w:r>
      <w:r>
        <w:rPr>
          <w:bCs/>
          <w:sz w:val="24"/>
          <w:szCs w:val="24"/>
        </w:rPr>
        <w:t xml:space="preserve"> en dehors de Tunis</w:t>
      </w:r>
    </w:p>
    <w:p w14:paraId="08C7E3E3" w14:textId="5FBB29CD" w:rsidR="008B3687" w:rsidRDefault="008B3687" w:rsidP="00026C12">
      <w:pPr>
        <w:jc w:val="both"/>
        <w:rPr>
          <w:b/>
          <w:bCs/>
          <w:sz w:val="24"/>
          <w:szCs w:val="24"/>
        </w:rPr>
      </w:pPr>
      <w:r w:rsidRPr="007920A9">
        <w:rPr>
          <w:b/>
          <w:bCs/>
          <w:sz w:val="24"/>
          <w:szCs w:val="24"/>
        </w:rPr>
        <w:t>8.4 Quel est le degré de développement de l'industrie des TIC, de la communauté des développeurs, et dans l'ensemble de</w:t>
      </w:r>
      <w:r w:rsidR="006F04A3" w:rsidRPr="007920A9">
        <w:rPr>
          <w:b/>
          <w:bCs/>
          <w:sz w:val="24"/>
          <w:szCs w:val="24"/>
        </w:rPr>
        <w:t xml:space="preserve"> la culture numérique en</w:t>
      </w:r>
      <w:r w:rsidR="00BC2450">
        <w:rPr>
          <w:b/>
          <w:bCs/>
          <w:sz w:val="24"/>
          <w:szCs w:val="24"/>
        </w:rPr>
        <w:t xml:space="preserve"> Tunisie</w:t>
      </w:r>
      <w:r w:rsidRPr="007920A9">
        <w:rPr>
          <w:b/>
          <w:bCs/>
          <w:sz w:val="24"/>
          <w:szCs w:val="24"/>
        </w:rPr>
        <w:t>? (Importance: Élevée)</w:t>
      </w:r>
      <w:r w:rsidR="00026C12" w:rsidRPr="007920A9">
        <w:rPr>
          <w:b/>
          <w:bCs/>
          <w:sz w:val="24"/>
          <w:szCs w:val="24"/>
        </w:rPr>
        <w:t xml:space="preserve"> </w:t>
      </w:r>
      <w:r w:rsidR="00516A7A" w:rsidRPr="00516A7A">
        <w:rPr>
          <w:b/>
          <w:bCs/>
          <w:sz w:val="24"/>
          <w:szCs w:val="24"/>
          <w:highlight w:val="green"/>
        </w:rPr>
        <w:t>VERT</w:t>
      </w:r>
    </w:p>
    <w:p w14:paraId="2A3F7CB5" w14:textId="3EF8859D" w:rsidR="00021BB7" w:rsidRPr="00DB0F7D" w:rsidRDefault="00EE58D5" w:rsidP="00D5699E">
      <w:pPr>
        <w:pStyle w:val="Paragraphedeliste"/>
        <w:numPr>
          <w:ilvl w:val="0"/>
          <w:numId w:val="107"/>
        </w:numPr>
        <w:jc w:val="both"/>
        <w:rPr>
          <w:bCs/>
          <w:sz w:val="24"/>
          <w:szCs w:val="24"/>
        </w:rPr>
      </w:pPr>
      <w:r w:rsidRPr="00DB0F7D">
        <w:rPr>
          <w:bCs/>
          <w:sz w:val="24"/>
          <w:szCs w:val="24"/>
        </w:rPr>
        <w:t>Le secteur des TIC emploi plus de 90.000 personnes directement (chiffres de 2015</w:t>
      </w:r>
      <w:r w:rsidR="00F25F43">
        <w:rPr>
          <w:bCs/>
          <w:sz w:val="24"/>
          <w:szCs w:val="24"/>
        </w:rPr>
        <w:t xml:space="preserve"> fournit par le MTCEN</w:t>
      </w:r>
      <w:r w:rsidRPr="00DB0F7D">
        <w:rPr>
          <w:bCs/>
          <w:sz w:val="24"/>
          <w:szCs w:val="24"/>
        </w:rPr>
        <w:t>), dont un peu plus de 20% dans le secteur public</w:t>
      </w:r>
      <w:r w:rsidR="00DB0F7D">
        <w:rPr>
          <w:bCs/>
          <w:sz w:val="24"/>
          <w:szCs w:val="24"/>
        </w:rPr>
        <w:t>. Ces chiffres représentent environ 2.6% de l’emploi en Tunisie.</w:t>
      </w:r>
    </w:p>
    <w:p w14:paraId="367BA3B5" w14:textId="2BE9BE66" w:rsidR="00EE58D5" w:rsidRPr="00DB0F7D" w:rsidRDefault="004E5EFC" w:rsidP="00D5699E">
      <w:pPr>
        <w:pStyle w:val="Paragraphedeliste"/>
        <w:numPr>
          <w:ilvl w:val="0"/>
          <w:numId w:val="107"/>
        </w:numPr>
        <w:jc w:val="both"/>
        <w:rPr>
          <w:bCs/>
          <w:sz w:val="24"/>
          <w:szCs w:val="24"/>
        </w:rPr>
      </w:pPr>
      <w:r w:rsidRPr="00DB0F7D">
        <w:rPr>
          <w:bCs/>
          <w:sz w:val="24"/>
          <w:szCs w:val="24"/>
        </w:rPr>
        <w:t xml:space="preserve">En 2015/2016, plus de 43.000 étudiants sont dans les filières TIC (environ 15% des </w:t>
      </w:r>
      <w:r w:rsidR="00DB0F7D" w:rsidRPr="00DB0F7D">
        <w:rPr>
          <w:bCs/>
          <w:sz w:val="24"/>
          <w:szCs w:val="24"/>
        </w:rPr>
        <w:t>étudiants</w:t>
      </w:r>
      <w:r w:rsidRPr="00DB0F7D">
        <w:rPr>
          <w:bCs/>
          <w:sz w:val="24"/>
          <w:szCs w:val="24"/>
        </w:rPr>
        <w:t>). Plus de 9000 étudiants ont été diplômés dont un peu plus de 40% dans l’enseignement supérieur (bac+5 ou plus)</w:t>
      </w:r>
      <w:r w:rsidR="00F25F43">
        <w:rPr>
          <w:bCs/>
          <w:sz w:val="24"/>
          <w:szCs w:val="24"/>
        </w:rPr>
        <w:t xml:space="preserve"> (chiffres fournit par le MTCEN)</w:t>
      </w:r>
    </w:p>
    <w:p w14:paraId="6E104105" w14:textId="16DFB333" w:rsidR="00F25F43" w:rsidRPr="00DB0F7D" w:rsidRDefault="004E5EFC" w:rsidP="00D5699E">
      <w:pPr>
        <w:pStyle w:val="Paragraphedeliste"/>
        <w:numPr>
          <w:ilvl w:val="0"/>
          <w:numId w:val="107"/>
        </w:numPr>
        <w:jc w:val="both"/>
        <w:rPr>
          <w:bCs/>
          <w:sz w:val="24"/>
          <w:szCs w:val="24"/>
        </w:rPr>
      </w:pPr>
      <w:r w:rsidRPr="00DB0F7D">
        <w:rPr>
          <w:bCs/>
          <w:sz w:val="24"/>
          <w:szCs w:val="24"/>
        </w:rPr>
        <w:t xml:space="preserve">Le chiffre d’affaire des TIC représente </w:t>
      </w:r>
      <w:r w:rsidR="00DB0F7D" w:rsidRPr="00DB0F7D">
        <w:rPr>
          <w:bCs/>
          <w:sz w:val="24"/>
          <w:szCs w:val="24"/>
        </w:rPr>
        <w:t>près de 6.65</w:t>
      </w:r>
      <w:r w:rsidRPr="00DB0F7D">
        <w:rPr>
          <w:bCs/>
          <w:sz w:val="24"/>
          <w:szCs w:val="24"/>
        </w:rPr>
        <w:t xml:space="preserve"> </w:t>
      </w:r>
      <w:r w:rsidR="00DB0F7D" w:rsidRPr="00DB0F7D">
        <w:rPr>
          <w:bCs/>
          <w:sz w:val="24"/>
          <w:szCs w:val="24"/>
        </w:rPr>
        <w:t>milli</w:t>
      </w:r>
      <w:r w:rsidRPr="00DB0F7D">
        <w:rPr>
          <w:bCs/>
          <w:sz w:val="24"/>
          <w:szCs w:val="24"/>
        </w:rPr>
        <w:t>ards de dinar</w:t>
      </w:r>
      <w:r w:rsidR="00DB0F7D" w:rsidRPr="00DB0F7D">
        <w:rPr>
          <w:bCs/>
          <w:sz w:val="24"/>
          <w:szCs w:val="24"/>
        </w:rPr>
        <w:t xml:space="preserve"> dont 20.6% à l’exportation</w:t>
      </w:r>
      <w:r w:rsidR="00DB0F7D">
        <w:rPr>
          <w:bCs/>
          <w:sz w:val="24"/>
          <w:szCs w:val="24"/>
        </w:rPr>
        <w:t>. La contribution des TIC au PIB est de plus de 7% (7.2% en 2016</w:t>
      </w:r>
      <w:r w:rsidR="00F25F43">
        <w:rPr>
          <w:bCs/>
          <w:sz w:val="24"/>
          <w:szCs w:val="24"/>
        </w:rPr>
        <w:t>) (chiffres fournit par le MTCEN).</w:t>
      </w:r>
    </w:p>
    <w:p w14:paraId="0141B7E3" w14:textId="281FC783" w:rsidR="004E5EFC" w:rsidRPr="001B6DD5" w:rsidRDefault="004E5EFC" w:rsidP="001B6DD5">
      <w:pPr>
        <w:ind w:left="360"/>
        <w:jc w:val="both"/>
        <w:rPr>
          <w:bCs/>
          <w:sz w:val="24"/>
          <w:szCs w:val="24"/>
        </w:rPr>
      </w:pPr>
    </w:p>
    <w:p w14:paraId="32ACC90B" w14:textId="77777777" w:rsidR="008752C2" w:rsidRPr="007920A9" w:rsidRDefault="008752C2" w:rsidP="00026C12">
      <w:pPr>
        <w:jc w:val="both"/>
        <w:rPr>
          <w:bCs/>
        </w:rPr>
      </w:pPr>
      <w:r w:rsidRPr="007920A9">
        <w:rPr>
          <w:rStyle w:val="Emphaseple"/>
          <w:color w:val="auto"/>
        </w:rPr>
        <w:t>Evaluation des INFRASTRUCTURES NATIONALES TECHNOLOGIQUES ET COMPETENCES INFORMATIQUES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701"/>
        <w:gridCol w:w="1276"/>
        <w:gridCol w:w="4252"/>
      </w:tblGrid>
      <w:tr w:rsidR="00026C12" w:rsidRPr="007920A9" w14:paraId="0A7F3CE1" w14:textId="77777777" w:rsidTr="00026C12">
        <w:trPr>
          <w:cantSplit/>
          <w:trHeight w:val="305"/>
          <w:tblHeader/>
        </w:trPr>
        <w:tc>
          <w:tcPr>
            <w:tcW w:w="1951" w:type="dxa"/>
            <w:shd w:val="clear" w:color="auto" w:fill="D9D9D9" w:themeFill="background1" w:themeFillShade="D9"/>
            <w:vAlign w:val="center"/>
          </w:tcPr>
          <w:p w14:paraId="29A983B6" w14:textId="77777777" w:rsidR="008752C2" w:rsidRPr="007920A9" w:rsidRDefault="008752C2" w:rsidP="00026C12">
            <w:pPr>
              <w:spacing w:after="0"/>
              <w:jc w:val="both"/>
              <w:rPr>
                <w:b/>
              </w:rPr>
            </w:pPr>
            <w:r w:rsidRPr="007920A9">
              <w:rPr>
                <w:b/>
              </w:rPr>
              <w:t>Domaine</w:t>
            </w:r>
          </w:p>
        </w:tc>
        <w:tc>
          <w:tcPr>
            <w:tcW w:w="1701" w:type="dxa"/>
            <w:shd w:val="clear" w:color="auto" w:fill="D9D9D9" w:themeFill="background1" w:themeFillShade="D9"/>
            <w:vAlign w:val="center"/>
          </w:tcPr>
          <w:p w14:paraId="672EB95A" w14:textId="77777777" w:rsidR="008752C2" w:rsidRPr="007920A9" w:rsidRDefault="008752C2" w:rsidP="00026C12">
            <w:pPr>
              <w:spacing w:after="0"/>
              <w:jc w:val="both"/>
              <w:rPr>
                <w:b/>
              </w:rPr>
            </w:pPr>
            <w:r w:rsidRPr="007920A9">
              <w:rPr>
                <w:b/>
              </w:rPr>
              <w:t>Importance</w:t>
            </w:r>
          </w:p>
        </w:tc>
        <w:tc>
          <w:tcPr>
            <w:tcW w:w="1276" w:type="dxa"/>
            <w:shd w:val="clear" w:color="auto" w:fill="D9D9D9" w:themeFill="background1" w:themeFillShade="D9"/>
            <w:vAlign w:val="center"/>
          </w:tcPr>
          <w:p w14:paraId="0689A28B" w14:textId="77777777" w:rsidR="008752C2" w:rsidRPr="007920A9" w:rsidRDefault="008752C2" w:rsidP="00026C12">
            <w:pPr>
              <w:spacing w:after="0"/>
              <w:jc w:val="both"/>
              <w:rPr>
                <w:b/>
              </w:rPr>
            </w:pPr>
            <w:r w:rsidRPr="007920A9">
              <w:rPr>
                <w:b/>
              </w:rPr>
              <w:t>Evaluation</w:t>
            </w:r>
          </w:p>
        </w:tc>
        <w:tc>
          <w:tcPr>
            <w:tcW w:w="4252" w:type="dxa"/>
            <w:shd w:val="clear" w:color="auto" w:fill="D9D9D9" w:themeFill="background1" w:themeFillShade="D9"/>
            <w:vAlign w:val="center"/>
          </w:tcPr>
          <w:p w14:paraId="692D50BC" w14:textId="77777777" w:rsidR="008752C2" w:rsidRPr="007920A9" w:rsidRDefault="008752C2" w:rsidP="00026C12">
            <w:pPr>
              <w:spacing w:after="0"/>
              <w:jc w:val="both"/>
              <w:rPr>
                <w:b/>
              </w:rPr>
            </w:pPr>
            <w:r w:rsidRPr="007920A9">
              <w:rPr>
                <w:b/>
              </w:rPr>
              <w:t>Commentaires</w:t>
            </w:r>
          </w:p>
        </w:tc>
      </w:tr>
      <w:tr w:rsidR="00026C12" w:rsidRPr="007920A9" w14:paraId="315A0486" w14:textId="77777777" w:rsidTr="00026C12">
        <w:tc>
          <w:tcPr>
            <w:tcW w:w="1951" w:type="dxa"/>
            <w:vAlign w:val="center"/>
          </w:tcPr>
          <w:p w14:paraId="4E4F2B86" w14:textId="77777777" w:rsidR="008752C2" w:rsidRPr="007920A9" w:rsidRDefault="008752C2" w:rsidP="00026C12">
            <w:pPr>
              <w:spacing w:after="0"/>
              <w:jc w:val="both"/>
              <w:rPr>
                <w:b/>
              </w:rPr>
            </w:pPr>
            <w:r w:rsidRPr="007920A9">
              <w:rPr>
                <w:b/>
              </w:rPr>
              <w:t>Ecosystème TIC</w:t>
            </w:r>
          </w:p>
        </w:tc>
        <w:tc>
          <w:tcPr>
            <w:tcW w:w="1701" w:type="dxa"/>
            <w:vAlign w:val="center"/>
          </w:tcPr>
          <w:p w14:paraId="4E459ED4" w14:textId="77777777" w:rsidR="008752C2" w:rsidRPr="007920A9" w:rsidRDefault="008752C2" w:rsidP="00026C12">
            <w:pPr>
              <w:spacing w:after="0"/>
              <w:jc w:val="both"/>
              <w:rPr>
                <w:b/>
              </w:rPr>
            </w:pPr>
            <w:r w:rsidRPr="007920A9">
              <w:rPr>
                <w:b/>
                <w:bCs/>
              </w:rPr>
              <w:t>Élevée</w:t>
            </w:r>
          </w:p>
        </w:tc>
        <w:tc>
          <w:tcPr>
            <w:tcW w:w="1276" w:type="dxa"/>
            <w:shd w:val="clear" w:color="auto" w:fill="auto"/>
            <w:vAlign w:val="center"/>
          </w:tcPr>
          <w:p w14:paraId="5FEAFB1D" w14:textId="37708C33" w:rsidR="008752C2" w:rsidRPr="007920A9" w:rsidRDefault="00021BB7" w:rsidP="00026C12">
            <w:pPr>
              <w:spacing w:after="0"/>
              <w:jc w:val="both"/>
              <w:rPr>
                <w:b/>
                <w:highlight w:val="lightGray"/>
              </w:rPr>
            </w:pPr>
            <w:r w:rsidRPr="003F02D0">
              <w:rPr>
                <w:b/>
                <w:bCs/>
                <w:sz w:val="24"/>
                <w:szCs w:val="24"/>
                <w:highlight w:val="yellow"/>
              </w:rPr>
              <w:t>JAUNE</w:t>
            </w:r>
            <w:r>
              <w:rPr>
                <w:b/>
                <w:bCs/>
                <w:sz w:val="24"/>
                <w:szCs w:val="24"/>
              </w:rPr>
              <w:t xml:space="preserve">/ </w:t>
            </w:r>
            <w:r w:rsidRPr="003F02D0">
              <w:rPr>
                <w:b/>
                <w:bCs/>
                <w:sz w:val="24"/>
                <w:szCs w:val="24"/>
                <w:highlight w:val="green"/>
              </w:rPr>
              <w:t>VERT</w:t>
            </w:r>
          </w:p>
        </w:tc>
        <w:tc>
          <w:tcPr>
            <w:tcW w:w="4252" w:type="dxa"/>
            <w:vAlign w:val="center"/>
          </w:tcPr>
          <w:p w14:paraId="74FB4474" w14:textId="77777777" w:rsidR="00026C12" w:rsidRDefault="00F36A43" w:rsidP="00F36A43">
            <w:pPr>
              <w:spacing w:after="0"/>
              <w:jc w:val="both"/>
            </w:pPr>
            <w:r>
              <w:t>Le taux de pénétration du mobile et de l’accès Internet est en forte augmentation.</w:t>
            </w:r>
          </w:p>
          <w:p w14:paraId="7F8410F1" w14:textId="03B7768A" w:rsidR="00F36A43" w:rsidRDefault="00F36A43" w:rsidP="00F36A43">
            <w:pPr>
              <w:spacing w:after="0"/>
              <w:jc w:val="both"/>
            </w:pPr>
            <w:r>
              <w:t>L’ensemb</w:t>
            </w:r>
            <w:r w:rsidR="004E25CE">
              <w:t>le du Gouvernement utilise les T</w:t>
            </w:r>
            <w:r>
              <w:t>IC et maintien</w:t>
            </w:r>
            <w:r w:rsidR="00417CCD">
              <w:t>t</w:t>
            </w:r>
            <w:r>
              <w:t xml:space="preserve"> </w:t>
            </w:r>
            <w:r w:rsidR="00417CCD">
              <w:t xml:space="preserve">les </w:t>
            </w:r>
            <w:r>
              <w:t>site</w:t>
            </w:r>
            <w:r w:rsidR="00417CCD">
              <w:t>s</w:t>
            </w:r>
            <w:r>
              <w:t xml:space="preserve"> Web à jour</w:t>
            </w:r>
            <w:r w:rsidR="004E25CE">
              <w:t>. L’écosystème intègre des espaces de co-working, des incubateurs TIC, et des programmes de support à l’innovation</w:t>
            </w:r>
            <w:r w:rsidR="00021BB7">
              <w:t>.</w:t>
            </w:r>
          </w:p>
          <w:p w14:paraId="694FB184" w14:textId="2993D771" w:rsidR="00021BB7" w:rsidRPr="007920A9" w:rsidRDefault="00021BB7" w:rsidP="00F36A43">
            <w:pPr>
              <w:spacing w:after="0"/>
              <w:jc w:val="both"/>
            </w:pPr>
            <w:r>
              <w:t>Le taux de pénétration du smartphone à plus de 55% est important comparé aux moyennes de la région, mais une part importante de la population n’en est pas équipé</w:t>
            </w:r>
            <w:r w:rsidR="00AA5FD4">
              <w:t>e</w:t>
            </w:r>
            <w:r>
              <w:t>.</w:t>
            </w:r>
          </w:p>
        </w:tc>
      </w:tr>
      <w:tr w:rsidR="00026C12" w:rsidRPr="007920A9" w14:paraId="75CCE5CE" w14:textId="77777777" w:rsidTr="00026C12">
        <w:tc>
          <w:tcPr>
            <w:tcW w:w="1951" w:type="dxa"/>
            <w:vAlign w:val="center"/>
          </w:tcPr>
          <w:p w14:paraId="656C4DE9" w14:textId="77777777" w:rsidR="008752C2" w:rsidRPr="007920A9" w:rsidRDefault="008752C2" w:rsidP="00026C12">
            <w:pPr>
              <w:spacing w:after="0"/>
              <w:jc w:val="both"/>
              <w:rPr>
                <w:b/>
              </w:rPr>
            </w:pPr>
            <w:r w:rsidRPr="007920A9">
              <w:rPr>
                <w:b/>
              </w:rPr>
              <w:t>Accès internet pour la population</w:t>
            </w:r>
          </w:p>
        </w:tc>
        <w:tc>
          <w:tcPr>
            <w:tcW w:w="1701" w:type="dxa"/>
            <w:vAlign w:val="center"/>
          </w:tcPr>
          <w:p w14:paraId="06F5DD8F" w14:textId="77777777" w:rsidR="008752C2" w:rsidRPr="007920A9" w:rsidRDefault="008752C2" w:rsidP="00026C12">
            <w:pPr>
              <w:spacing w:after="0"/>
              <w:jc w:val="both"/>
              <w:rPr>
                <w:b/>
              </w:rPr>
            </w:pPr>
            <w:r w:rsidRPr="007920A9">
              <w:rPr>
                <w:b/>
                <w:bCs/>
              </w:rPr>
              <w:t>Élevée</w:t>
            </w:r>
          </w:p>
        </w:tc>
        <w:tc>
          <w:tcPr>
            <w:tcW w:w="1276" w:type="dxa"/>
            <w:tcBorders>
              <w:bottom w:val="single" w:sz="4" w:space="0" w:color="auto"/>
            </w:tcBorders>
            <w:shd w:val="clear" w:color="auto" w:fill="auto"/>
            <w:vAlign w:val="center"/>
          </w:tcPr>
          <w:p w14:paraId="2141585F" w14:textId="6483140A" w:rsidR="008752C2" w:rsidRPr="007920A9" w:rsidRDefault="00021BB7" w:rsidP="00026C12">
            <w:pPr>
              <w:spacing w:after="0"/>
              <w:jc w:val="both"/>
              <w:rPr>
                <w:b/>
                <w:highlight w:val="yellow"/>
              </w:rPr>
            </w:pPr>
            <w:r w:rsidRPr="003F02D0">
              <w:rPr>
                <w:b/>
                <w:bCs/>
                <w:sz w:val="24"/>
                <w:szCs w:val="24"/>
                <w:highlight w:val="green"/>
              </w:rPr>
              <w:t>VERT</w:t>
            </w:r>
          </w:p>
        </w:tc>
        <w:tc>
          <w:tcPr>
            <w:tcW w:w="4252" w:type="dxa"/>
            <w:vAlign w:val="center"/>
          </w:tcPr>
          <w:p w14:paraId="62E7E86F" w14:textId="1BDBDACB" w:rsidR="008752C2" w:rsidRPr="007920A9" w:rsidRDefault="004E25CE" w:rsidP="00026C12">
            <w:pPr>
              <w:pStyle w:val="En-tte"/>
              <w:tabs>
                <w:tab w:val="clear" w:pos="4513"/>
                <w:tab w:val="clear" w:pos="9026"/>
              </w:tabs>
              <w:spacing w:before="0" w:after="0"/>
              <w:jc w:val="both"/>
              <w:rPr>
                <w:sz w:val="22"/>
                <w:szCs w:val="22"/>
                <w:lang w:val="fr-FR"/>
              </w:rPr>
            </w:pPr>
            <w:r>
              <w:rPr>
                <w:sz w:val="22"/>
                <w:szCs w:val="22"/>
                <w:lang w:val="fr-FR"/>
              </w:rPr>
              <w:t>La couverture réseau couvre la majorité de la population</w:t>
            </w:r>
            <w:r w:rsidR="00516A7A">
              <w:rPr>
                <w:sz w:val="22"/>
                <w:szCs w:val="22"/>
                <w:lang w:val="fr-FR"/>
              </w:rPr>
              <w:t xml:space="preserve"> et la couverture des dernières zones blanches sont la priorité du MTCEN</w:t>
            </w:r>
            <w:r>
              <w:rPr>
                <w:sz w:val="22"/>
                <w:szCs w:val="22"/>
                <w:lang w:val="fr-FR"/>
              </w:rPr>
              <w:t>. L’accessibilité financière des services mobiles et accès internet mobile est remarquable et en dessous du seuil de 5% du salaire moyen recommandé par l’ONU</w:t>
            </w:r>
            <w:r w:rsidR="00EB4C2C">
              <w:rPr>
                <w:sz w:val="22"/>
                <w:szCs w:val="22"/>
                <w:lang w:val="fr-FR"/>
              </w:rPr>
              <w:t>. Toutefois, le projet de loi de finance 2018 pourrait avoir un impact négatif sur cet aspect.</w:t>
            </w:r>
          </w:p>
        </w:tc>
      </w:tr>
      <w:tr w:rsidR="00F36A43" w:rsidRPr="007920A9" w14:paraId="49301115" w14:textId="77777777" w:rsidTr="00026C12">
        <w:tc>
          <w:tcPr>
            <w:tcW w:w="1951" w:type="dxa"/>
            <w:vAlign w:val="center"/>
          </w:tcPr>
          <w:p w14:paraId="5098F6DD" w14:textId="77777777" w:rsidR="00F36A43" w:rsidRPr="007920A9" w:rsidRDefault="00F36A43" w:rsidP="00F36A43">
            <w:pPr>
              <w:spacing w:after="0"/>
              <w:jc w:val="both"/>
              <w:rPr>
                <w:b/>
              </w:rPr>
            </w:pPr>
            <w:r w:rsidRPr="007920A9">
              <w:rPr>
                <w:b/>
                <w:bCs/>
              </w:rPr>
              <w:t>Disponibilités d’infrastructures partagées de stockage ou de calcul</w:t>
            </w:r>
          </w:p>
        </w:tc>
        <w:tc>
          <w:tcPr>
            <w:tcW w:w="1701" w:type="dxa"/>
            <w:vAlign w:val="center"/>
          </w:tcPr>
          <w:p w14:paraId="17434CD6" w14:textId="77777777" w:rsidR="00F36A43" w:rsidRPr="007920A9" w:rsidRDefault="00F36A43" w:rsidP="00F36A43">
            <w:pPr>
              <w:spacing w:after="0"/>
              <w:jc w:val="both"/>
              <w:rPr>
                <w:b/>
              </w:rPr>
            </w:pPr>
            <w:r w:rsidRPr="007920A9">
              <w:rPr>
                <w:b/>
                <w:bCs/>
              </w:rPr>
              <w:t>Moyennent Élevée</w:t>
            </w:r>
          </w:p>
        </w:tc>
        <w:tc>
          <w:tcPr>
            <w:tcW w:w="1276" w:type="dxa"/>
            <w:tcBorders>
              <w:bottom w:val="single" w:sz="4" w:space="0" w:color="auto"/>
            </w:tcBorders>
            <w:shd w:val="clear" w:color="auto" w:fill="auto"/>
            <w:vAlign w:val="center"/>
          </w:tcPr>
          <w:p w14:paraId="0BE76B56" w14:textId="43287757" w:rsidR="00F36A43" w:rsidRPr="007920A9" w:rsidRDefault="00021BB7" w:rsidP="00F36A43">
            <w:pPr>
              <w:spacing w:after="0"/>
              <w:jc w:val="both"/>
              <w:rPr>
                <w:b/>
                <w:highlight w:val="yellow"/>
              </w:rPr>
            </w:pPr>
            <w:r w:rsidRPr="003F02D0">
              <w:rPr>
                <w:b/>
                <w:bCs/>
                <w:sz w:val="24"/>
                <w:szCs w:val="24"/>
                <w:highlight w:val="green"/>
              </w:rPr>
              <w:t>VERT</w:t>
            </w:r>
            <w:r w:rsidRPr="00021BB7">
              <w:rPr>
                <w:b/>
                <w:bCs/>
                <w:sz w:val="24"/>
                <w:szCs w:val="24"/>
              </w:rPr>
              <w:t xml:space="preserve">/ </w:t>
            </w:r>
            <w:r w:rsidRPr="00021BB7">
              <w:rPr>
                <w:b/>
                <w:bCs/>
                <w:sz w:val="24"/>
                <w:szCs w:val="24"/>
                <w:highlight w:val="lightGray"/>
              </w:rPr>
              <w:t>GRIS</w:t>
            </w:r>
          </w:p>
        </w:tc>
        <w:tc>
          <w:tcPr>
            <w:tcW w:w="4252" w:type="dxa"/>
            <w:vAlign w:val="center"/>
          </w:tcPr>
          <w:p w14:paraId="480D818E" w14:textId="1D76AC7D" w:rsidR="00F36A43" w:rsidRPr="007920A9" w:rsidRDefault="00021BB7" w:rsidP="00F36A43">
            <w:pPr>
              <w:spacing w:after="0"/>
              <w:jc w:val="both"/>
            </w:pPr>
            <w:r w:rsidRPr="00021BB7">
              <w:t>Toutes les infrastructures virtuelles nécessaire</w:t>
            </w:r>
            <w:r w:rsidR="00AA5FD4">
              <w:t>s</w:t>
            </w:r>
            <w:r w:rsidRPr="00021BB7">
              <w:t xml:space="preserve"> sont disponibles à Tunis et ne constitue pas un frein. Par contre, il n’a pas été possible d’évaluer la qualité de l’infrastructure réseau et des services dans les régions</w:t>
            </w:r>
          </w:p>
        </w:tc>
      </w:tr>
      <w:tr w:rsidR="00F36A43" w:rsidRPr="007920A9" w14:paraId="64327F7D" w14:textId="77777777" w:rsidTr="00026C12">
        <w:tc>
          <w:tcPr>
            <w:tcW w:w="1951" w:type="dxa"/>
            <w:tcBorders>
              <w:bottom w:val="single" w:sz="4" w:space="0" w:color="auto"/>
            </w:tcBorders>
            <w:vAlign w:val="center"/>
          </w:tcPr>
          <w:p w14:paraId="540C2D11" w14:textId="77777777" w:rsidR="00F36A43" w:rsidRPr="007920A9" w:rsidRDefault="00F36A43" w:rsidP="00F36A43">
            <w:pPr>
              <w:spacing w:after="0"/>
              <w:jc w:val="both"/>
              <w:rPr>
                <w:b/>
              </w:rPr>
            </w:pPr>
            <w:r w:rsidRPr="007920A9">
              <w:rPr>
                <w:b/>
              </w:rPr>
              <w:t>Etat de la communauté des développeurs et du secteur privé des TIC</w:t>
            </w:r>
          </w:p>
        </w:tc>
        <w:tc>
          <w:tcPr>
            <w:tcW w:w="1701" w:type="dxa"/>
            <w:tcBorders>
              <w:bottom w:val="single" w:sz="4" w:space="0" w:color="auto"/>
            </w:tcBorders>
            <w:vAlign w:val="center"/>
          </w:tcPr>
          <w:p w14:paraId="7229C83A" w14:textId="77777777" w:rsidR="00F36A43" w:rsidRPr="007920A9" w:rsidRDefault="00F36A43" w:rsidP="00F36A43">
            <w:pPr>
              <w:spacing w:after="0"/>
              <w:jc w:val="both"/>
              <w:rPr>
                <w:b/>
              </w:rPr>
            </w:pPr>
            <w:r w:rsidRPr="007920A9">
              <w:rPr>
                <w:b/>
                <w:bCs/>
              </w:rPr>
              <w:t>Élevée</w:t>
            </w:r>
          </w:p>
        </w:tc>
        <w:tc>
          <w:tcPr>
            <w:tcW w:w="1276" w:type="dxa"/>
            <w:tcBorders>
              <w:bottom w:val="single" w:sz="4" w:space="0" w:color="auto"/>
            </w:tcBorders>
            <w:shd w:val="clear" w:color="auto" w:fill="auto"/>
            <w:vAlign w:val="center"/>
          </w:tcPr>
          <w:p w14:paraId="47F35E38" w14:textId="65A8011D" w:rsidR="00F36A43" w:rsidRPr="007920A9" w:rsidRDefault="00EE58D5" w:rsidP="00F36A43">
            <w:pPr>
              <w:spacing w:after="0"/>
              <w:jc w:val="both"/>
              <w:rPr>
                <w:highlight w:val="yellow"/>
              </w:rPr>
            </w:pPr>
            <w:r w:rsidRPr="003F02D0">
              <w:rPr>
                <w:b/>
                <w:bCs/>
                <w:sz w:val="24"/>
                <w:szCs w:val="24"/>
                <w:highlight w:val="green"/>
              </w:rPr>
              <w:t>VERT</w:t>
            </w:r>
          </w:p>
        </w:tc>
        <w:tc>
          <w:tcPr>
            <w:tcW w:w="4252" w:type="dxa"/>
            <w:vAlign w:val="center"/>
          </w:tcPr>
          <w:p w14:paraId="28114C2F" w14:textId="5457F860" w:rsidR="00F36A43" w:rsidRDefault="002B413B" w:rsidP="00F36A43">
            <w:pPr>
              <w:spacing w:after="0"/>
              <w:jc w:val="both"/>
            </w:pPr>
            <w:r w:rsidRPr="00EE58D5">
              <w:t>Un grand nombre</w:t>
            </w:r>
            <w:r w:rsidR="00EE58D5" w:rsidRPr="00EE58D5">
              <w:t xml:space="preserve"> d’étudiant</w:t>
            </w:r>
            <w:r>
              <w:t>s</w:t>
            </w:r>
            <w:r w:rsidR="00EE58D5" w:rsidRPr="00EE58D5">
              <w:t xml:space="preserve"> dans les sections</w:t>
            </w:r>
            <w:r w:rsidR="00EE58D5">
              <w:t xml:space="preserve"> TIC sont diplôm</w:t>
            </w:r>
            <w:r w:rsidR="00EE58D5" w:rsidRPr="00EE58D5">
              <w:t xml:space="preserve">és chaque année, et une partie </w:t>
            </w:r>
            <w:r w:rsidR="00EE58D5">
              <w:t xml:space="preserve">importante </w:t>
            </w:r>
            <w:r w:rsidR="00417CCD">
              <w:t>est</w:t>
            </w:r>
            <w:r w:rsidR="00417CCD" w:rsidRPr="00EE58D5">
              <w:t xml:space="preserve"> </w:t>
            </w:r>
            <w:r w:rsidR="00EE58D5" w:rsidRPr="00EE58D5">
              <w:t>issue de l’enseignement supérieur (bac+5 ou plus)</w:t>
            </w:r>
          </w:p>
          <w:p w14:paraId="5E725BA4" w14:textId="2A32845D" w:rsidR="00EE58D5" w:rsidRPr="007920A9" w:rsidRDefault="00EE58D5" w:rsidP="00F36A43">
            <w:pPr>
              <w:spacing w:after="0"/>
              <w:jc w:val="both"/>
            </w:pPr>
            <w:r>
              <w:t>Les TIC participe</w:t>
            </w:r>
            <w:r w:rsidR="00417CCD">
              <w:t>nt</w:t>
            </w:r>
            <w:r>
              <w:t xml:space="preserve"> à hauteur de 2.2% du PIB et emploie</w:t>
            </w:r>
            <w:r w:rsidR="00417CCD">
              <w:t>nt</w:t>
            </w:r>
            <w:r>
              <w:t xml:space="preserve"> plus de 90.000</w:t>
            </w:r>
            <w:r w:rsidR="00417CCD">
              <w:t xml:space="preserve"> personnes</w:t>
            </w:r>
          </w:p>
        </w:tc>
      </w:tr>
      <w:tr w:rsidR="00F36A43" w:rsidRPr="007920A9" w14:paraId="09BA5666" w14:textId="77777777" w:rsidTr="00026C12">
        <w:tc>
          <w:tcPr>
            <w:tcW w:w="1951" w:type="dxa"/>
            <w:shd w:val="clear" w:color="auto" w:fill="auto"/>
            <w:vAlign w:val="center"/>
          </w:tcPr>
          <w:p w14:paraId="0051C13F" w14:textId="77777777" w:rsidR="00F36A43" w:rsidRPr="007920A9" w:rsidRDefault="00F36A43" w:rsidP="00F36A43">
            <w:pPr>
              <w:spacing w:after="0"/>
              <w:jc w:val="both"/>
              <w:rPr>
                <w:b/>
              </w:rPr>
            </w:pPr>
            <w:r w:rsidRPr="007920A9">
              <w:rPr>
                <w:b/>
              </w:rPr>
              <w:t>Résultat Global</w:t>
            </w:r>
          </w:p>
        </w:tc>
        <w:tc>
          <w:tcPr>
            <w:tcW w:w="1701" w:type="dxa"/>
            <w:shd w:val="clear" w:color="auto" w:fill="auto"/>
            <w:vAlign w:val="center"/>
          </w:tcPr>
          <w:p w14:paraId="5B6F3167" w14:textId="77777777" w:rsidR="00F36A43" w:rsidRPr="007920A9" w:rsidRDefault="00F36A43" w:rsidP="00F36A43">
            <w:pPr>
              <w:spacing w:after="0"/>
              <w:jc w:val="both"/>
              <w:rPr>
                <w:b/>
              </w:rPr>
            </w:pPr>
            <w:r w:rsidRPr="007920A9">
              <w:rPr>
                <w:b/>
                <w:bCs/>
              </w:rPr>
              <w:t>Élevée</w:t>
            </w:r>
          </w:p>
        </w:tc>
        <w:tc>
          <w:tcPr>
            <w:tcW w:w="1276" w:type="dxa"/>
            <w:shd w:val="clear" w:color="auto" w:fill="auto"/>
            <w:vAlign w:val="center"/>
          </w:tcPr>
          <w:p w14:paraId="53C71A01" w14:textId="42A8A189" w:rsidR="00F36A43" w:rsidRPr="007920A9" w:rsidRDefault="00EE58D5" w:rsidP="00F36A43">
            <w:pPr>
              <w:spacing w:after="0"/>
              <w:jc w:val="both"/>
              <w:rPr>
                <w:highlight w:val="yellow"/>
              </w:rPr>
            </w:pPr>
            <w:r w:rsidRPr="003F02D0">
              <w:rPr>
                <w:b/>
                <w:bCs/>
                <w:sz w:val="24"/>
                <w:szCs w:val="24"/>
                <w:highlight w:val="green"/>
              </w:rPr>
              <w:t>VERT</w:t>
            </w:r>
          </w:p>
        </w:tc>
        <w:tc>
          <w:tcPr>
            <w:tcW w:w="4252" w:type="dxa"/>
            <w:vAlign w:val="center"/>
          </w:tcPr>
          <w:p w14:paraId="183D7B92" w14:textId="31B18711" w:rsidR="00F36A43" w:rsidRPr="007920A9" w:rsidRDefault="00EE58D5" w:rsidP="00F36A43">
            <w:pPr>
              <w:spacing w:after="0"/>
              <w:jc w:val="both"/>
            </w:pPr>
            <w:r w:rsidRPr="00EE58D5">
              <w:t>L’écosystème TIC est robuste en Tunisie. Les compétences ainsi que les infrastructures et le secteur privé sont assez développés.</w:t>
            </w:r>
          </w:p>
        </w:tc>
      </w:tr>
    </w:tbl>
    <w:p w14:paraId="1B2E897C" w14:textId="77777777" w:rsidR="004E25CE" w:rsidRDefault="004E25CE">
      <w:pPr>
        <w:rPr>
          <w:rFonts w:eastAsiaTheme="majorEastAsia" w:cstheme="majorBidi"/>
          <w:b/>
          <w:bCs/>
          <w:caps/>
          <w:color w:val="FFFFFF" w:themeColor="background1"/>
          <w:sz w:val="28"/>
          <w:szCs w:val="28"/>
        </w:rPr>
      </w:pPr>
      <w:bookmarkStart w:id="30" w:name="_Toc459307843"/>
      <w:r>
        <w:br w:type="page"/>
      </w:r>
    </w:p>
    <w:p w14:paraId="4C915009" w14:textId="5C0732A3" w:rsidR="00C66790" w:rsidRPr="007920A9" w:rsidRDefault="00C66790" w:rsidP="00026C12">
      <w:pPr>
        <w:pStyle w:val="Titre1"/>
        <w:jc w:val="both"/>
        <w:rPr>
          <w:rFonts w:asciiTheme="minorHAnsi" w:hAnsiTheme="minorHAnsi"/>
        </w:rPr>
      </w:pPr>
      <w:bookmarkStart w:id="31" w:name="_Toc496544784"/>
      <w:r w:rsidRPr="007920A9">
        <w:rPr>
          <w:rFonts w:asciiTheme="minorHAnsi" w:hAnsiTheme="minorHAnsi"/>
        </w:rPr>
        <w:t>Conclusion</w:t>
      </w:r>
      <w:bookmarkEnd w:id="30"/>
      <w:bookmarkEnd w:id="31"/>
    </w:p>
    <w:p w14:paraId="68B22D45" w14:textId="1EB7DA7F" w:rsidR="004C4146" w:rsidRDefault="0010361F" w:rsidP="004C4146">
      <w:pPr>
        <w:pStyle w:val="Titre2"/>
      </w:pPr>
      <w:bookmarkStart w:id="32" w:name="_Toc496544785"/>
      <w:r>
        <w:t>Etat des lieux</w:t>
      </w:r>
      <w:bookmarkEnd w:id="32"/>
    </w:p>
    <w:p w14:paraId="167FA88E" w14:textId="1EEA7C14" w:rsidR="004C4146" w:rsidRDefault="004C4146" w:rsidP="004C4146">
      <w:pPr>
        <w:jc w:val="both"/>
        <w:rPr>
          <w:sz w:val="24"/>
        </w:rPr>
      </w:pPr>
      <w:r>
        <w:rPr>
          <w:sz w:val="24"/>
        </w:rPr>
        <w:t xml:space="preserve">L’étude approfondie des 8 dimensions qui constituent la méthodologie de la Banque Mondiale pour évaluer l’état de préparation d’un pays à l’ouverture des </w:t>
      </w:r>
      <w:r w:rsidR="009352D9">
        <w:rPr>
          <w:sz w:val="24"/>
        </w:rPr>
        <w:t>données gouvern</w:t>
      </w:r>
      <w:r w:rsidR="00844052">
        <w:rPr>
          <w:sz w:val="24"/>
        </w:rPr>
        <w:t>e</w:t>
      </w:r>
      <w:r w:rsidR="009352D9">
        <w:rPr>
          <w:sz w:val="24"/>
        </w:rPr>
        <w:t>mentales</w:t>
      </w:r>
      <w:r w:rsidR="00844052">
        <w:rPr>
          <w:sz w:val="24"/>
        </w:rPr>
        <w:t xml:space="preserve"> </w:t>
      </w:r>
      <w:r>
        <w:rPr>
          <w:sz w:val="24"/>
        </w:rPr>
        <w:t xml:space="preserve">fait clairement ressortir les points forts et les défis à résoudre pour non seulement </w:t>
      </w:r>
      <w:r w:rsidR="0010361F">
        <w:rPr>
          <w:sz w:val="24"/>
        </w:rPr>
        <w:t>renforcer l’</w:t>
      </w:r>
      <w:r>
        <w:rPr>
          <w:sz w:val="24"/>
        </w:rPr>
        <w:t xml:space="preserve">initiative d’ouverture des données en </w:t>
      </w:r>
      <w:r w:rsidR="0010361F">
        <w:rPr>
          <w:sz w:val="24"/>
        </w:rPr>
        <w:t>Tunisie</w:t>
      </w:r>
      <w:r>
        <w:rPr>
          <w:sz w:val="24"/>
        </w:rPr>
        <w:t>, mais également pour s’assu</w:t>
      </w:r>
      <w:r w:rsidR="0010361F">
        <w:rPr>
          <w:sz w:val="24"/>
        </w:rPr>
        <w:t>rer que cette initiative produise</w:t>
      </w:r>
      <w:r>
        <w:rPr>
          <w:sz w:val="24"/>
        </w:rPr>
        <w:t xml:space="preserve"> l’impact économique et social attendu.</w:t>
      </w:r>
    </w:p>
    <w:p w14:paraId="3A72060F" w14:textId="77777777" w:rsidR="004C4146" w:rsidRDefault="004C4146" w:rsidP="004C4146">
      <w:pPr>
        <w:spacing w:after="0"/>
        <w:jc w:val="both"/>
        <w:rPr>
          <w:sz w:val="24"/>
        </w:rPr>
      </w:pPr>
      <w:r>
        <w:rPr>
          <w:sz w:val="24"/>
        </w:rPr>
        <w:t xml:space="preserve">Un aperçu des 8 dimensions est présenté ci-dessous. Les résultats sont fournis selon un code couleur : </w:t>
      </w:r>
    </w:p>
    <w:p w14:paraId="435F4950" w14:textId="2600DD0E" w:rsidR="004C4146" w:rsidRDefault="004C4146" w:rsidP="004C4146">
      <w:pPr>
        <w:spacing w:after="0"/>
        <w:jc w:val="both"/>
        <w:rPr>
          <w:sz w:val="24"/>
        </w:rPr>
      </w:pPr>
      <w:r>
        <w:rPr>
          <w:sz w:val="24"/>
        </w:rPr>
        <w:t xml:space="preserve">- </w:t>
      </w:r>
      <w:r>
        <w:rPr>
          <w:sz w:val="24"/>
          <w:highlight w:val="green"/>
        </w:rPr>
        <w:t>Vert</w:t>
      </w:r>
      <w:r>
        <w:rPr>
          <w:sz w:val="24"/>
        </w:rPr>
        <w:t xml:space="preserve"> signifie qu’il y a un ensemble d’éléments clairs en faveur de l’initiative ; </w:t>
      </w:r>
    </w:p>
    <w:p w14:paraId="0A2D1BEF" w14:textId="61F2C2F8" w:rsidR="00F25F43" w:rsidRDefault="00F25F43" w:rsidP="004C4146">
      <w:pPr>
        <w:spacing w:after="0"/>
        <w:jc w:val="both"/>
        <w:rPr>
          <w:sz w:val="24"/>
        </w:rPr>
      </w:pPr>
      <w:r>
        <w:rPr>
          <w:sz w:val="24"/>
        </w:rPr>
        <w:t xml:space="preserve">- </w:t>
      </w:r>
      <w:r>
        <w:rPr>
          <w:sz w:val="24"/>
          <w:highlight w:val="yellow"/>
        </w:rPr>
        <w:t>Jaune</w:t>
      </w:r>
      <w:r>
        <w:rPr>
          <w:sz w:val="24"/>
        </w:rPr>
        <w:t>/</w:t>
      </w:r>
      <w:r w:rsidRPr="001B6DD5">
        <w:rPr>
          <w:sz w:val="24"/>
          <w:highlight w:val="green"/>
        </w:rPr>
        <w:t>Vert</w:t>
      </w:r>
      <w:r>
        <w:rPr>
          <w:sz w:val="24"/>
        </w:rPr>
        <w:t xml:space="preserve"> signifie qu’il y a à la fois des éléments en faveur et en défaveur de l’initiative mais les éléments défavorables sont peu impactant ; </w:t>
      </w:r>
    </w:p>
    <w:p w14:paraId="398C5010" w14:textId="2D745F3D" w:rsidR="004C4146" w:rsidRDefault="004C4146" w:rsidP="004C4146">
      <w:pPr>
        <w:spacing w:after="0"/>
        <w:jc w:val="both"/>
        <w:rPr>
          <w:sz w:val="24"/>
        </w:rPr>
      </w:pPr>
      <w:r>
        <w:rPr>
          <w:sz w:val="24"/>
        </w:rPr>
        <w:t xml:space="preserve">- </w:t>
      </w:r>
      <w:r>
        <w:rPr>
          <w:sz w:val="24"/>
          <w:highlight w:val="yellow"/>
        </w:rPr>
        <w:t>Jaune</w:t>
      </w:r>
      <w:r>
        <w:rPr>
          <w:sz w:val="24"/>
        </w:rPr>
        <w:t xml:space="preserve"> signifie qu’il y a  des éléments  en défaveur de l’initiative </w:t>
      </w:r>
      <w:r w:rsidR="00F25F43">
        <w:rPr>
          <w:sz w:val="24"/>
        </w:rPr>
        <w:t>mais qui peuvent être résolu relativement facilement</w:t>
      </w:r>
      <w:r>
        <w:rPr>
          <w:sz w:val="24"/>
        </w:rPr>
        <w:t xml:space="preserve">; </w:t>
      </w:r>
    </w:p>
    <w:p w14:paraId="68DD6D5E" w14:textId="54B47101" w:rsidR="00F25F43" w:rsidRDefault="00F25F43" w:rsidP="004C4146">
      <w:pPr>
        <w:spacing w:after="0"/>
        <w:jc w:val="both"/>
        <w:rPr>
          <w:sz w:val="24"/>
        </w:rPr>
      </w:pPr>
      <w:r>
        <w:rPr>
          <w:sz w:val="24"/>
        </w:rPr>
        <w:t xml:space="preserve">- </w:t>
      </w:r>
      <w:r w:rsidRPr="003A1B05">
        <w:rPr>
          <w:sz w:val="24"/>
          <w:highlight w:val="yellow"/>
        </w:rPr>
        <w:t>Jaune</w:t>
      </w:r>
      <w:r>
        <w:rPr>
          <w:sz w:val="24"/>
        </w:rPr>
        <w:t>/</w:t>
      </w:r>
      <w:r>
        <w:rPr>
          <w:sz w:val="24"/>
          <w:highlight w:val="red"/>
        </w:rPr>
        <w:t>Rouge</w:t>
      </w:r>
      <w:r>
        <w:rPr>
          <w:sz w:val="24"/>
        </w:rPr>
        <w:t xml:space="preserve"> signifie qu’il y existe des barrières substantielles à la mise en œuvre de l’initiative ; Ces barrières nécessiteront un travail approfondi afin d’être résolues.</w:t>
      </w:r>
    </w:p>
    <w:p w14:paraId="29C5E586" w14:textId="4BACA382" w:rsidR="004C4146" w:rsidRDefault="004C4146" w:rsidP="0010361F">
      <w:pPr>
        <w:spacing w:after="0"/>
        <w:jc w:val="both"/>
        <w:rPr>
          <w:sz w:val="24"/>
        </w:rPr>
      </w:pPr>
      <w:r>
        <w:rPr>
          <w:sz w:val="24"/>
        </w:rPr>
        <w:t xml:space="preserve">- </w:t>
      </w:r>
      <w:r>
        <w:rPr>
          <w:sz w:val="24"/>
          <w:highlight w:val="red"/>
        </w:rPr>
        <w:t>Rouge</w:t>
      </w:r>
      <w:r>
        <w:rPr>
          <w:sz w:val="24"/>
        </w:rPr>
        <w:t xml:space="preserve"> signifie qu’il y existe des barrières substantielles à la mise en œuvre de l’initiative ; Ces barrières </w:t>
      </w:r>
      <w:r w:rsidR="00F25F43">
        <w:rPr>
          <w:sz w:val="24"/>
        </w:rPr>
        <w:t xml:space="preserve">nécessiteront un investissement important pour être résolues. Elles </w:t>
      </w:r>
      <w:r>
        <w:rPr>
          <w:sz w:val="24"/>
        </w:rPr>
        <w:t>devront être résolues pour un développ</w:t>
      </w:r>
      <w:r w:rsidR="0010361F">
        <w:rPr>
          <w:sz w:val="24"/>
        </w:rPr>
        <w:t xml:space="preserve">ement pérenne de l’initiative. </w:t>
      </w:r>
    </w:p>
    <w:p w14:paraId="1E4AB5F7" w14:textId="77777777" w:rsidR="0010361F" w:rsidRDefault="0010361F" w:rsidP="0010361F">
      <w:pPr>
        <w:spacing w:after="0"/>
        <w:jc w:val="both"/>
        <w:rPr>
          <w:sz w:val="24"/>
        </w:rPr>
      </w:pPr>
    </w:p>
    <w:tbl>
      <w:tblPr>
        <w:tblW w:w="0" w:type="auto"/>
        <w:tblInd w:w="392"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394"/>
        <w:gridCol w:w="1779"/>
        <w:gridCol w:w="1001"/>
        <w:gridCol w:w="1002"/>
      </w:tblGrid>
      <w:tr w:rsidR="004C4146" w14:paraId="31681967" w14:textId="77777777" w:rsidTr="004C4146">
        <w:trPr>
          <w:trHeight w:val="520"/>
        </w:trPr>
        <w:tc>
          <w:tcPr>
            <w:tcW w:w="4394" w:type="dxa"/>
            <w:tcBorders>
              <w:top w:val="single" w:sz="4" w:space="0" w:color="auto"/>
              <w:left w:val="nil"/>
              <w:bottom w:val="single" w:sz="4" w:space="0" w:color="auto"/>
              <w:right w:val="single" w:sz="4" w:space="0" w:color="auto"/>
            </w:tcBorders>
            <w:shd w:val="clear" w:color="auto" w:fill="948A54" w:themeFill="background2" w:themeFillShade="80"/>
            <w:vAlign w:val="center"/>
            <w:hideMark/>
          </w:tcPr>
          <w:p w14:paraId="2802FF14" w14:textId="77777777" w:rsidR="004C4146" w:rsidRDefault="004C4146">
            <w:pPr>
              <w:jc w:val="center"/>
              <w:rPr>
                <w:b/>
              </w:rPr>
            </w:pPr>
            <w:r>
              <w:rPr>
                <w:b/>
              </w:rPr>
              <w:t>DIMENSION</w:t>
            </w:r>
          </w:p>
        </w:tc>
        <w:tc>
          <w:tcPr>
            <w:tcW w:w="1779" w:type="dxa"/>
            <w:tcBorders>
              <w:top w:val="single" w:sz="4" w:space="0" w:color="auto"/>
              <w:left w:val="single" w:sz="4" w:space="0" w:color="auto"/>
              <w:bottom w:val="single" w:sz="4" w:space="0" w:color="auto"/>
              <w:right w:val="single" w:sz="4" w:space="0" w:color="auto"/>
            </w:tcBorders>
            <w:shd w:val="clear" w:color="auto" w:fill="948A54" w:themeFill="background2" w:themeFillShade="80"/>
            <w:vAlign w:val="center"/>
            <w:hideMark/>
          </w:tcPr>
          <w:p w14:paraId="16005AFD" w14:textId="77777777" w:rsidR="004C4146" w:rsidRDefault="004C4146">
            <w:pPr>
              <w:jc w:val="center"/>
              <w:rPr>
                <w:b/>
              </w:rPr>
            </w:pPr>
            <w:r>
              <w:rPr>
                <w:b/>
              </w:rPr>
              <w:t>IMPORTANCE</w:t>
            </w:r>
          </w:p>
        </w:tc>
        <w:tc>
          <w:tcPr>
            <w:tcW w:w="2003" w:type="dxa"/>
            <w:gridSpan w:val="2"/>
            <w:tcBorders>
              <w:top w:val="single" w:sz="4" w:space="0" w:color="auto"/>
              <w:left w:val="single" w:sz="4" w:space="0" w:color="auto"/>
              <w:bottom w:val="single" w:sz="4" w:space="0" w:color="auto"/>
              <w:right w:val="nil"/>
            </w:tcBorders>
            <w:shd w:val="clear" w:color="auto" w:fill="948A54" w:themeFill="background2" w:themeFillShade="80"/>
            <w:vAlign w:val="center"/>
            <w:hideMark/>
          </w:tcPr>
          <w:p w14:paraId="26AF62A5" w14:textId="77777777" w:rsidR="004C4146" w:rsidRDefault="004C4146">
            <w:pPr>
              <w:jc w:val="center"/>
              <w:rPr>
                <w:b/>
              </w:rPr>
            </w:pPr>
            <w:r>
              <w:rPr>
                <w:b/>
              </w:rPr>
              <w:t>Evaluation</w:t>
            </w:r>
          </w:p>
        </w:tc>
      </w:tr>
      <w:tr w:rsidR="004C4146" w14:paraId="1770CCB2" w14:textId="77777777" w:rsidTr="0010361F">
        <w:trPr>
          <w:trHeight w:val="423"/>
        </w:trPr>
        <w:tc>
          <w:tcPr>
            <w:tcW w:w="4394" w:type="dxa"/>
            <w:tcBorders>
              <w:top w:val="single" w:sz="4" w:space="0" w:color="auto"/>
              <w:left w:val="nil"/>
              <w:bottom w:val="single" w:sz="4" w:space="0" w:color="auto"/>
              <w:right w:val="single" w:sz="4" w:space="0" w:color="auto"/>
            </w:tcBorders>
            <w:vAlign w:val="center"/>
            <w:hideMark/>
          </w:tcPr>
          <w:p w14:paraId="01A34682" w14:textId="77777777" w:rsidR="004C4146" w:rsidRPr="0010361F" w:rsidRDefault="004C4146">
            <w:pPr>
              <w:rPr>
                <w:b/>
              </w:rPr>
            </w:pPr>
            <w:r w:rsidRPr="0010361F">
              <w:rPr>
                <w:b/>
              </w:rPr>
              <w:t>LEADERSHIP</w:t>
            </w:r>
          </w:p>
        </w:tc>
        <w:tc>
          <w:tcPr>
            <w:tcW w:w="1779" w:type="dxa"/>
            <w:tcBorders>
              <w:top w:val="single" w:sz="4" w:space="0" w:color="auto"/>
              <w:left w:val="single" w:sz="4" w:space="0" w:color="auto"/>
              <w:bottom w:val="single" w:sz="4" w:space="0" w:color="auto"/>
              <w:right w:val="single" w:sz="4" w:space="0" w:color="auto"/>
            </w:tcBorders>
            <w:vAlign w:val="center"/>
            <w:hideMark/>
          </w:tcPr>
          <w:p w14:paraId="6FD4A4A4" w14:textId="77777777" w:rsidR="004C4146" w:rsidRDefault="004C4146">
            <w:pPr>
              <w:jc w:val="center"/>
              <w:rPr>
                <w:b/>
              </w:rPr>
            </w:pPr>
            <w:r>
              <w:rPr>
                <w:b/>
              </w:rPr>
              <w:t xml:space="preserve">Très </w:t>
            </w:r>
            <w:r>
              <w:rPr>
                <w:b/>
                <w:bCs/>
              </w:rPr>
              <w:t>Élevée</w:t>
            </w:r>
          </w:p>
        </w:tc>
        <w:tc>
          <w:tcPr>
            <w:tcW w:w="1001" w:type="dxa"/>
            <w:tcBorders>
              <w:top w:val="single" w:sz="4" w:space="0" w:color="auto"/>
              <w:left w:val="single" w:sz="4" w:space="0" w:color="auto"/>
              <w:bottom w:val="single" w:sz="4" w:space="0" w:color="auto"/>
              <w:right w:val="single" w:sz="4" w:space="0" w:color="auto"/>
            </w:tcBorders>
            <w:shd w:val="clear" w:color="auto" w:fill="FFFF00"/>
            <w:vAlign w:val="center"/>
          </w:tcPr>
          <w:p w14:paraId="4BBD295B" w14:textId="77777777" w:rsidR="004C4146" w:rsidRDefault="004C4146">
            <w:pPr>
              <w:jc w:val="center"/>
              <w:rPr>
                <w:b/>
              </w:rPr>
            </w:pPr>
          </w:p>
        </w:tc>
        <w:tc>
          <w:tcPr>
            <w:tcW w:w="1002" w:type="dxa"/>
            <w:tcBorders>
              <w:top w:val="single" w:sz="4" w:space="0" w:color="auto"/>
              <w:left w:val="single" w:sz="4" w:space="0" w:color="auto"/>
              <w:bottom w:val="single" w:sz="4" w:space="0" w:color="auto"/>
              <w:right w:val="nil"/>
            </w:tcBorders>
            <w:shd w:val="clear" w:color="auto" w:fill="66FF33"/>
            <w:vAlign w:val="center"/>
          </w:tcPr>
          <w:p w14:paraId="32E85E27" w14:textId="77777777" w:rsidR="004C4146" w:rsidRDefault="004C4146">
            <w:pPr>
              <w:jc w:val="center"/>
              <w:rPr>
                <w:b/>
              </w:rPr>
            </w:pPr>
          </w:p>
        </w:tc>
      </w:tr>
      <w:tr w:rsidR="003661B5" w14:paraId="72BE6D9C" w14:textId="77777777" w:rsidTr="0010361F">
        <w:trPr>
          <w:trHeight w:val="303"/>
        </w:trPr>
        <w:tc>
          <w:tcPr>
            <w:tcW w:w="4394" w:type="dxa"/>
            <w:tcBorders>
              <w:top w:val="single" w:sz="4" w:space="0" w:color="auto"/>
              <w:left w:val="nil"/>
              <w:bottom w:val="single" w:sz="4" w:space="0" w:color="auto"/>
              <w:right w:val="single" w:sz="4" w:space="0" w:color="auto"/>
            </w:tcBorders>
            <w:vAlign w:val="center"/>
            <w:hideMark/>
          </w:tcPr>
          <w:p w14:paraId="5D6989ED" w14:textId="77777777" w:rsidR="003661B5" w:rsidRPr="0010361F" w:rsidRDefault="003661B5">
            <w:pPr>
              <w:rPr>
                <w:b/>
              </w:rPr>
            </w:pPr>
            <w:r w:rsidRPr="0010361F">
              <w:rPr>
                <w:b/>
              </w:rPr>
              <w:t>CADRE REGLEMENTAIRE ET JURIDIQUE</w:t>
            </w:r>
          </w:p>
        </w:tc>
        <w:tc>
          <w:tcPr>
            <w:tcW w:w="1779" w:type="dxa"/>
            <w:tcBorders>
              <w:top w:val="single" w:sz="4" w:space="0" w:color="auto"/>
              <w:left w:val="single" w:sz="4" w:space="0" w:color="auto"/>
              <w:bottom w:val="single" w:sz="4" w:space="0" w:color="auto"/>
              <w:right w:val="single" w:sz="4" w:space="0" w:color="auto"/>
            </w:tcBorders>
            <w:vAlign w:val="center"/>
            <w:hideMark/>
          </w:tcPr>
          <w:p w14:paraId="34DD2AF4" w14:textId="77777777" w:rsidR="003661B5" w:rsidRDefault="003661B5">
            <w:pPr>
              <w:jc w:val="center"/>
              <w:rPr>
                <w:b/>
              </w:rPr>
            </w:pPr>
            <w:r>
              <w:rPr>
                <w:b/>
                <w:bCs/>
              </w:rPr>
              <w:t>Élevée</w:t>
            </w:r>
          </w:p>
        </w:tc>
        <w:tc>
          <w:tcPr>
            <w:tcW w:w="1001" w:type="dxa"/>
            <w:tcBorders>
              <w:top w:val="single" w:sz="4" w:space="0" w:color="auto"/>
              <w:left w:val="single" w:sz="4" w:space="0" w:color="auto"/>
              <w:bottom w:val="single" w:sz="4" w:space="0" w:color="auto"/>
              <w:right w:val="nil"/>
            </w:tcBorders>
            <w:shd w:val="clear" w:color="auto" w:fill="FFFF00"/>
            <w:vAlign w:val="center"/>
          </w:tcPr>
          <w:p w14:paraId="6A10772E" w14:textId="77777777" w:rsidR="003661B5" w:rsidRDefault="003661B5">
            <w:pPr>
              <w:jc w:val="center"/>
            </w:pPr>
          </w:p>
        </w:tc>
        <w:tc>
          <w:tcPr>
            <w:tcW w:w="1002" w:type="dxa"/>
            <w:tcBorders>
              <w:top w:val="single" w:sz="4" w:space="0" w:color="auto"/>
              <w:left w:val="single" w:sz="4" w:space="0" w:color="auto"/>
              <w:bottom w:val="single" w:sz="4" w:space="0" w:color="auto"/>
              <w:right w:val="nil"/>
            </w:tcBorders>
            <w:shd w:val="clear" w:color="auto" w:fill="66FF33"/>
            <w:vAlign w:val="center"/>
          </w:tcPr>
          <w:p w14:paraId="23C5B506" w14:textId="5FE8339A" w:rsidR="003661B5" w:rsidRDefault="003661B5">
            <w:pPr>
              <w:jc w:val="center"/>
            </w:pPr>
          </w:p>
        </w:tc>
      </w:tr>
      <w:tr w:rsidR="003661B5" w14:paraId="48712C1A" w14:textId="77777777" w:rsidTr="0010361F">
        <w:trPr>
          <w:trHeight w:val="1020"/>
        </w:trPr>
        <w:tc>
          <w:tcPr>
            <w:tcW w:w="4394" w:type="dxa"/>
            <w:tcBorders>
              <w:top w:val="single" w:sz="4" w:space="0" w:color="auto"/>
              <w:left w:val="nil"/>
              <w:bottom w:val="single" w:sz="4" w:space="0" w:color="auto"/>
              <w:right w:val="single" w:sz="4" w:space="0" w:color="auto"/>
            </w:tcBorders>
            <w:vAlign w:val="center"/>
            <w:hideMark/>
          </w:tcPr>
          <w:p w14:paraId="0E7FEFFD" w14:textId="77777777" w:rsidR="003661B5" w:rsidRPr="0010361F" w:rsidRDefault="003661B5">
            <w:r w:rsidRPr="0010361F">
              <w:rPr>
                <w:rStyle w:val="Emphaseple"/>
                <w:color w:val="auto"/>
              </w:rPr>
              <w:t>STRUCTURES INSTITUTIONNELLES, RESPONSABILITES ET COMPETENCES AU SEIN DU GOUVERNEMENT</w:t>
            </w:r>
          </w:p>
        </w:tc>
        <w:tc>
          <w:tcPr>
            <w:tcW w:w="1779" w:type="dxa"/>
            <w:tcBorders>
              <w:top w:val="single" w:sz="4" w:space="0" w:color="auto"/>
              <w:left w:val="single" w:sz="4" w:space="0" w:color="auto"/>
              <w:bottom w:val="single" w:sz="4" w:space="0" w:color="auto"/>
              <w:right w:val="single" w:sz="4" w:space="0" w:color="auto"/>
            </w:tcBorders>
            <w:vAlign w:val="center"/>
            <w:hideMark/>
          </w:tcPr>
          <w:p w14:paraId="5D266931" w14:textId="77777777" w:rsidR="003661B5" w:rsidRDefault="003661B5">
            <w:pPr>
              <w:jc w:val="center"/>
              <w:rPr>
                <w:b/>
              </w:rPr>
            </w:pPr>
            <w:r>
              <w:rPr>
                <w:b/>
                <w:bCs/>
              </w:rPr>
              <w:t>Élevée</w:t>
            </w:r>
          </w:p>
        </w:tc>
        <w:tc>
          <w:tcPr>
            <w:tcW w:w="1001" w:type="dxa"/>
            <w:tcBorders>
              <w:top w:val="single" w:sz="4" w:space="0" w:color="auto"/>
              <w:left w:val="single" w:sz="4" w:space="0" w:color="auto"/>
              <w:bottom w:val="single" w:sz="4" w:space="0" w:color="auto"/>
              <w:right w:val="nil"/>
            </w:tcBorders>
            <w:shd w:val="clear" w:color="auto" w:fill="FFFF00"/>
            <w:vAlign w:val="center"/>
          </w:tcPr>
          <w:p w14:paraId="25A66692" w14:textId="77777777" w:rsidR="003661B5" w:rsidRDefault="003661B5">
            <w:pPr>
              <w:jc w:val="center"/>
            </w:pPr>
          </w:p>
        </w:tc>
        <w:tc>
          <w:tcPr>
            <w:tcW w:w="1002" w:type="dxa"/>
            <w:tcBorders>
              <w:top w:val="single" w:sz="4" w:space="0" w:color="auto"/>
              <w:left w:val="single" w:sz="4" w:space="0" w:color="auto"/>
              <w:bottom w:val="single" w:sz="4" w:space="0" w:color="auto"/>
              <w:right w:val="nil"/>
            </w:tcBorders>
            <w:shd w:val="clear" w:color="auto" w:fill="66FF33"/>
            <w:vAlign w:val="center"/>
          </w:tcPr>
          <w:p w14:paraId="259E640E" w14:textId="641F73B2" w:rsidR="003661B5" w:rsidRDefault="003661B5">
            <w:pPr>
              <w:jc w:val="center"/>
            </w:pPr>
          </w:p>
        </w:tc>
      </w:tr>
      <w:tr w:rsidR="004C4146" w14:paraId="1F8B6317" w14:textId="77777777" w:rsidTr="0010361F">
        <w:trPr>
          <w:trHeight w:val="1364"/>
        </w:trPr>
        <w:tc>
          <w:tcPr>
            <w:tcW w:w="4394" w:type="dxa"/>
            <w:tcBorders>
              <w:top w:val="single" w:sz="4" w:space="0" w:color="auto"/>
              <w:left w:val="nil"/>
              <w:bottom w:val="single" w:sz="4" w:space="0" w:color="auto"/>
              <w:right w:val="single" w:sz="4" w:space="0" w:color="auto"/>
            </w:tcBorders>
            <w:vAlign w:val="center"/>
            <w:hideMark/>
          </w:tcPr>
          <w:p w14:paraId="38B5B212" w14:textId="77777777" w:rsidR="004C4146" w:rsidRPr="0010361F" w:rsidRDefault="004C4146">
            <w:r w:rsidRPr="0010361F">
              <w:rPr>
                <w:rStyle w:val="Emphaseple"/>
                <w:color w:val="auto"/>
              </w:rPr>
              <w:t>DONNEES AU SEIN DU GOUVERNEMENT, REGLEMENTATIONS ET PROCEDURES DE LA GESTION DES DONNEES GOUVERNEMENTALES</w:t>
            </w:r>
          </w:p>
        </w:tc>
        <w:tc>
          <w:tcPr>
            <w:tcW w:w="1779" w:type="dxa"/>
            <w:tcBorders>
              <w:top w:val="single" w:sz="4" w:space="0" w:color="auto"/>
              <w:left w:val="single" w:sz="4" w:space="0" w:color="auto"/>
              <w:bottom w:val="single" w:sz="4" w:space="0" w:color="auto"/>
              <w:right w:val="single" w:sz="4" w:space="0" w:color="auto"/>
            </w:tcBorders>
            <w:vAlign w:val="center"/>
            <w:hideMark/>
          </w:tcPr>
          <w:p w14:paraId="2D7D211A" w14:textId="77777777" w:rsidR="004C4146" w:rsidRDefault="004C4146">
            <w:pPr>
              <w:jc w:val="center"/>
              <w:rPr>
                <w:b/>
              </w:rPr>
            </w:pPr>
            <w:r>
              <w:rPr>
                <w:b/>
                <w:bCs/>
              </w:rPr>
              <w:t>Élevée</w:t>
            </w:r>
          </w:p>
        </w:tc>
        <w:tc>
          <w:tcPr>
            <w:tcW w:w="2003" w:type="dxa"/>
            <w:gridSpan w:val="2"/>
            <w:tcBorders>
              <w:top w:val="single" w:sz="4" w:space="0" w:color="auto"/>
              <w:left w:val="single" w:sz="4" w:space="0" w:color="auto"/>
              <w:bottom w:val="single" w:sz="4" w:space="0" w:color="auto"/>
              <w:right w:val="nil"/>
            </w:tcBorders>
            <w:shd w:val="clear" w:color="auto" w:fill="FFFF00"/>
            <w:vAlign w:val="center"/>
          </w:tcPr>
          <w:p w14:paraId="346B9DA4" w14:textId="77777777" w:rsidR="004C4146" w:rsidRDefault="004C4146">
            <w:pPr>
              <w:jc w:val="center"/>
            </w:pPr>
          </w:p>
        </w:tc>
      </w:tr>
      <w:tr w:rsidR="004C4146" w14:paraId="2D19BC34" w14:textId="77777777" w:rsidTr="0010361F">
        <w:trPr>
          <w:trHeight w:val="530"/>
        </w:trPr>
        <w:tc>
          <w:tcPr>
            <w:tcW w:w="4394" w:type="dxa"/>
            <w:tcBorders>
              <w:top w:val="single" w:sz="4" w:space="0" w:color="auto"/>
              <w:left w:val="nil"/>
              <w:bottom w:val="single" w:sz="4" w:space="0" w:color="auto"/>
              <w:right w:val="single" w:sz="4" w:space="0" w:color="auto"/>
            </w:tcBorders>
            <w:vAlign w:val="center"/>
            <w:hideMark/>
          </w:tcPr>
          <w:p w14:paraId="416519E9" w14:textId="77777777" w:rsidR="004C4146" w:rsidRPr="0010361F" w:rsidRDefault="004C4146">
            <w:pPr>
              <w:pStyle w:val="Sous-titre"/>
              <w:spacing w:before="0" w:after="240" w:line="276" w:lineRule="auto"/>
              <w:rPr>
                <w:b/>
                <w:iCs/>
                <w:color w:val="auto"/>
                <w:sz w:val="22"/>
                <w:lang w:val="fr-FR"/>
              </w:rPr>
            </w:pPr>
            <w:r w:rsidRPr="0010361F">
              <w:rPr>
                <w:rStyle w:val="Emphaseple"/>
                <w:color w:val="auto"/>
                <w:sz w:val="22"/>
                <w:lang w:val="fr-FR"/>
              </w:rPr>
              <w:t>DEMANDE CONCERNANT L’OUVERTURE DES DONNEES PUBLIQUES</w:t>
            </w:r>
          </w:p>
        </w:tc>
        <w:tc>
          <w:tcPr>
            <w:tcW w:w="1779" w:type="dxa"/>
            <w:tcBorders>
              <w:top w:val="single" w:sz="4" w:space="0" w:color="auto"/>
              <w:left w:val="single" w:sz="4" w:space="0" w:color="auto"/>
              <w:bottom w:val="single" w:sz="4" w:space="0" w:color="auto"/>
              <w:right w:val="single" w:sz="4" w:space="0" w:color="auto"/>
            </w:tcBorders>
            <w:vAlign w:val="center"/>
            <w:hideMark/>
          </w:tcPr>
          <w:p w14:paraId="5E9FCE18" w14:textId="77777777" w:rsidR="004C4146" w:rsidRDefault="004C4146">
            <w:pPr>
              <w:jc w:val="center"/>
              <w:rPr>
                <w:b/>
              </w:rPr>
            </w:pPr>
            <w:r>
              <w:rPr>
                <w:b/>
              </w:rPr>
              <w:t xml:space="preserve">Très </w:t>
            </w:r>
            <w:r>
              <w:rPr>
                <w:b/>
                <w:bCs/>
              </w:rPr>
              <w:t>Élevée</w:t>
            </w:r>
          </w:p>
        </w:tc>
        <w:tc>
          <w:tcPr>
            <w:tcW w:w="1001" w:type="dxa"/>
            <w:tcBorders>
              <w:top w:val="single" w:sz="4" w:space="0" w:color="auto"/>
              <w:left w:val="single" w:sz="4" w:space="0" w:color="auto"/>
              <w:bottom w:val="single" w:sz="4" w:space="0" w:color="auto"/>
              <w:right w:val="single" w:sz="4" w:space="0" w:color="auto"/>
            </w:tcBorders>
            <w:shd w:val="clear" w:color="auto" w:fill="FFFF00"/>
            <w:vAlign w:val="center"/>
          </w:tcPr>
          <w:p w14:paraId="33B24F61" w14:textId="77777777" w:rsidR="004C4146" w:rsidRDefault="004C4146">
            <w:pPr>
              <w:jc w:val="center"/>
            </w:pPr>
          </w:p>
        </w:tc>
        <w:tc>
          <w:tcPr>
            <w:tcW w:w="1002" w:type="dxa"/>
            <w:tcBorders>
              <w:top w:val="single" w:sz="4" w:space="0" w:color="auto"/>
              <w:left w:val="single" w:sz="4" w:space="0" w:color="auto"/>
              <w:bottom w:val="single" w:sz="4" w:space="0" w:color="auto"/>
              <w:right w:val="nil"/>
            </w:tcBorders>
            <w:shd w:val="clear" w:color="auto" w:fill="FF0000"/>
            <w:vAlign w:val="center"/>
          </w:tcPr>
          <w:p w14:paraId="5A9BFBDA" w14:textId="77777777" w:rsidR="004C4146" w:rsidRDefault="004C4146">
            <w:pPr>
              <w:jc w:val="center"/>
            </w:pPr>
          </w:p>
        </w:tc>
      </w:tr>
      <w:tr w:rsidR="004C4146" w14:paraId="79DB9C43" w14:textId="77777777" w:rsidTr="0010361F">
        <w:trPr>
          <w:trHeight w:val="655"/>
        </w:trPr>
        <w:tc>
          <w:tcPr>
            <w:tcW w:w="4394" w:type="dxa"/>
            <w:tcBorders>
              <w:top w:val="single" w:sz="4" w:space="0" w:color="auto"/>
              <w:left w:val="nil"/>
              <w:bottom w:val="single" w:sz="4" w:space="0" w:color="auto"/>
              <w:right w:val="single" w:sz="4" w:space="0" w:color="auto"/>
            </w:tcBorders>
            <w:vAlign w:val="center"/>
            <w:hideMark/>
          </w:tcPr>
          <w:p w14:paraId="4F55E0D8" w14:textId="77777777" w:rsidR="004C4146" w:rsidRPr="0010361F" w:rsidRDefault="004C4146">
            <w:r w:rsidRPr="0010361F">
              <w:rPr>
                <w:rStyle w:val="Emphaseple"/>
                <w:color w:val="auto"/>
              </w:rPr>
              <w:t>ENGAGEMENT CITOYEN ET CAPACITES CONCERNANT LES DONNEES PUBLIQUES</w:t>
            </w:r>
          </w:p>
        </w:tc>
        <w:tc>
          <w:tcPr>
            <w:tcW w:w="1779" w:type="dxa"/>
            <w:tcBorders>
              <w:top w:val="single" w:sz="4" w:space="0" w:color="auto"/>
              <w:left w:val="single" w:sz="4" w:space="0" w:color="auto"/>
              <w:bottom w:val="single" w:sz="4" w:space="0" w:color="auto"/>
              <w:right w:val="single" w:sz="4" w:space="0" w:color="auto"/>
            </w:tcBorders>
            <w:vAlign w:val="center"/>
            <w:hideMark/>
          </w:tcPr>
          <w:p w14:paraId="2C9FA306" w14:textId="77777777" w:rsidR="004C4146" w:rsidRDefault="004C4146">
            <w:pPr>
              <w:jc w:val="center"/>
              <w:rPr>
                <w:b/>
              </w:rPr>
            </w:pPr>
            <w:r>
              <w:rPr>
                <w:b/>
                <w:bCs/>
              </w:rPr>
              <w:t>Élevée</w:t>
            </w:r>
          </w:p>
        </w:tc>
        <w:tc>
          <w:tcPr>
            <w:tcW w:w="2003" w:type="dxa"/>
            <w:gridSpan w:val="2"/>
            <w:tcBorders>
              <w:top w:val="single" w:sz="4" w:space="0" w:color="auto"/>
              <w:left w:val="single" w:sz="4" w:space="0" w:color="auto"/>
              <w:bottom w:val="single" w:sz="4" w:space="0" w:color="auto"/>
              <w:right w:val="nil"/>
            </w:tcBorders>
            <w:shd w:val="clear" w:color="auto" w:fill="FFFF00"/>
            <w:vAlign w:val="center"/>
          </w:tcPr>
          <w:p w14:paraId="033DEDE2" w14:textId="77777777" w:rsidR="004C4146" w:rsidRDefault="004C4146">
            <w:pPr>
              <w:jc w:val="center"/>
            </w:pPr>
          </w:p>
        </w:tc>
      </w:tr>
      <w:tr w:rsidR="004C4146" w14:paraId="473F4A5A" w14:textId="77777777" w:rsidTr="0010361F">
        <w:trPr>
          <w:trHeight w:val="520"/>
        </w:trPr>
        <w:tc>
          <w:tcPr>
            <w:tcW w:w="4394" w:type="dxa"/>
            <w:tcBorders>
              <w:top w:val="single" w:sz="4" w:space="0" w:color="auto"/>
              <w:left w:val="nil"/>
              <w:bottom w:val="single" w:sz="4" w:space="0" w:color="auto"/>
              <w:right w:val="single" w:sz="4" w:space="0" w:color="auto"/>
            </w:tcBorders>
            <w:vAlign w:val="center"/>
            <w:hideMark/>
          </w:tcPr>
          <w:p w14:paraId="7906BA23" w14:textId="77777777" w:rsidR="004C4146" w:rsidRPr="0010361F" w:rsidRDefault="004C4146">
            <w:r w:rsidRPr="0010361F">
              <w:rPr>
                <w:rStyle w:val="Emphaseple"/>
                <w:color w:val="auto"/>
              </w:rPr>
              <w:t>FINANCEMENT D’UN PROGRAMME D’OUVERTURE DES DONNEES PUBLIQUES</w:t>
            </w:r>
          </w:p>
        </w:tc>
        <w:tc>
          <w:tcPr>
            <w:tcW w:w="1779" w:type="dxa"/>
            <w:tcBorders>
              <w:top w:val="single" w:sz="4" w:space="0" w:color="auto"/>
              <w:left w:val="single" w:sz="4" w:space="0" w:color="auto"/>
              <w:bottom w:val="single" w:sz="4" w:space="0" w:color="auto"/>
              <w:right w:val="single" w:sz="4" w:space="0" w:color="auto"/>
            </w:tcBorders>
            <w:vAlign w:val="center"/>
            <w:hideMark/>
          </w:tcPr>
          <w:p w14:paraId="121FD4F7" w14:textId="77777777" w:rsidR="004C4146" w:rsidRDefault="004C4146">
            <w:pPr>
              <w:jc w:val="center"/>
              <w:rPr>
                <w:b/>
              </w:rPr>
            </w:pPr>
            <w:r>
              <w:rPr>
                <w:b/>
              </w:rPr>
              <w:t xml:space="preserve">Moyennent </w:t>
            </w:r>
            <w:r>
              <w:rPr>
                <w:b/>
                <w:bCs/>
              </w:rPr>
              <w:t>Élevée</w:t>
            </w:r>
          </w:p>
        </w:tc>
        <w:tc>
          <w:tcPr>
            <w:tcW w:w="2003" w:type="dxa"/>
            <w:gridSpan w:val="2"/>
            <w:tcBorders>
              <w:top w:val="single" w:sz="4" w:space="0" w:color="auto"/>
              <w:left w:val="single" w:sz="4" w:space="0" w:color="auto"/>
              <w:bottom w:val="single" w:sz="4" w:space="0" w:color="auto"/>
              <w:right w:val="nil"/>
            </w:tcBorders>
            <w:shd w:val="clear" w:color="auto" w:fill="66FF33"/>
            <w:vAlign w:val="center"/>
          </w:tcPr>
          <w:p w14:paraId="6A39D222" w14:textId="77777777" w:rsidR="004C4146" w:rsidRDefault="004C4146">
            <w:pPr>
              <w:jc w:val="center"/>
            </w:pPr>
          </w:p>
        </w:tc>
      </w:tr>
      <w:tr w:rsidR="004C4146" w14:paraId="578B2A71" w14:textId="77777777" w:rsidTr="0010361F">
        <w:trPr>
          <w:trHeight w:val="977"/>
        </w:trPr>
        <w:tc>
          <w:tcPr>
            <w:tcW w:w="4394" w:type="dxa"/>
            <w:tcBorders>
              <w:top w:val="single" w:sz="4" w:space="0" w:color="auto"/>
              <w:left w:val="nil"/>
              <w:bottom w:val="single" w:sz="4" w:space="0" w:color="auto"/>
              <w:right w:val="single" w:sz="4" w:space="0" w:color="auto"/>
            </w:tcBorders>
            <w:vAlign w:val="center"/>
            <w:hideMark/>
          </w:tcPr>
          <w:p w14:paraId="62143D07" w14:textId="77777777" w:rsidR="004C4146" w:rsidRPr="0010361F" w:rsidRDefault="004C4146">
            <w:r w:rsidRPr="0010361F">
              <w:rPr>
                <w:rStyle w:val="Emphaseple"/>
                <w:color w:val="auto"/>
              </w:rPr>
              <w:t>INFRASTRUCTURES NATIONALES TECHNOLOGIQUES ET COMPETENCES INFORMATIQUES</w:t>
            </w:r>
          </w:p>
        </w:tc>
        <w:tc>
          <w:tcPr>
            <w:tcW w:w="1779" w:type="dxa"/>
            <w:tcBorders>
              <w:top w:val="single" w:sz="4" w:space="0" w:color="auto"/>
              <w:left w:val="single" w:sz="4" w:space="0" w:color="auto"/>
              <w:bottom w:val="single" w:sz="4" w:space="0" w:color="auto"/>
              <w:right w:val="single" w:sz="4" w:space="0" w:color="auto"/>
            </w:tcBorders>
            <w:vAlign w:val="center"/>
            <w:hideMark/>
          </w:tcPr>
          <w:p w14:paraId="3D7629AF" w14:textId="77777777" w:rsidR="004C4146" w:rsidRDefault="004C4146">
            <w:pPr>
              <w:jc w:val="center"/>
              <w:rPr>
                <w:b/>
              </w:rPr>
            </w:pPr>
            <w:r>
              <w:rPr>
                <w:b/>
                <w:bCs/>
              </w:rPr>
              <w:t>Élevée</w:t>
            </w:r>
          </w:p>
        </w:tc>
        <w:tc>
          <w:tcPr>
            <w:tcW w:w="2003" w:type="dxa"/>
            <w:gridSpan w:val="2"/>
            <w:tcBorders>
              <w:top w:val="single" w:sz="4" w:space="0" w:color="auto"/>
              <w:left w:val="single" w:sz="4" w:space="0" w:color="auto"/>
              <w:bottom w:val="single" w:sz="4" w:space="0" w:color="auto"/>
              <w:right w:val="nil"/>
            </w:tcBorders>
            <w:shd w:val="clear" w:color="auto" w:fill="66FF33"/>
            <w:vAlign w:val="center"/>
            <w:hideMark/>
          </w:tcPr>
          <w:p w14:paraId="7929E6E0" w14:textId="77777777" w:rsidR="004C4146" w:rsidRDefault="004C4146">
            <w:pPr>
              <w:rPr>
                <w:b/>
              </w:rPr>
            </w:pPr>
          </w:p>
        </w:tc>
      </w:tr>
    </w:tbl>
    <w:p w14:paraId="10E80FB0" w14:textId="77777777" w:rsidR="004C4146" w:rsidRDefault="004C4146" w:rsidP="004C4146">
      <w:pPr>
        <w:jc w:val="both"/>
      </w:pPr>
    </w:p>
    <w:p w14:paraId="31AE9639" w14:textId="2E4BB0B0" w:rsidR="004C4146" w:rsidRDefault="004C4146" w:rsidP="004C4146">
      <w:pPr>
        <w:jc w:val="both"/>
        <w:rPr>
          <w:sz w:val="24"/>
        </w:rPr>
      </w:pPr>
      <w:r>
        <w:rPr>
          <w:sz w:val="24"/>
        </w:rPr>
        <w:t xml:space="preserve">Concernant les points forts qui ressortent de cette </w:t>
      </w:r>
      <w:r w:rsidR="0010361F">
        <w:rPr>
          <w:sz w:val="24"/>
        </w:rPr>
        <w:t xml:space="preserve">étude, </w:t>
      </w:r>
      <w:r w:rsidR="00844052">
        <w:rPr>
          <w:sz w:val="24"/>
        </w:rPr>
        <w:t>i</w:t>
      </w:r>
      <w:r w:rsidR="0010361F">
        <w:rPr>
          <w:sz w:val="24"/>
        </w:rPr>
        <w:t>l est clair que l’</w:t>
      </w:r>
      <w:r>
        <w:rPr>
          <w:sz w:val="24"/>
        </w:rPr>
        <w:t xml:space="preserve">initiative d’ouverture des </w:t>
      </w:r>
      <w:r w:rsidR="009352D9">
        <w:rPr>
          <w:sz w:val="24"/>
        </w:rPr>
        <w:t>données gouvern</w:t>
      </w:r>
      <w:r w:rsidR="00844052">
        <w:rPr>
          <w:sz w:val="24"/>
        </w:rPr>
        <w:t>e</w:t>
      </w:r>
      <w:r w:rsidR="009352D9">
        <w:rPr>
          <w:sz w:val="24"/>
        </w:rPr>
        <w:t>mentales</w:t>
      </w:r>
      <w:r w:rsidR="00844052">
        <w:rPr>
          <w:sz w:val="24"/>
        </w:rPr>
        <w:t xml:space="preserve"> </w:t>
      </w:r>
      <w:r>
        <w:rPr>
          <w:sz w:val="24"/>
        </w:rPr>
        <w:t>s’inscrit parfaitement dans l’agenda politique du gouvernement d’une part dans tout ce qui touche à la transparence et d’autre part dans tout ce qui touche au développement du secteur des TIC</w:t>
      </w:r>
      <w:r w:rsidR="0010361F">
        <w:rPr>
          <w:sz w:val="24"/>
        </w:rPr>
        <w:t xml:space="preserve"> et enfin dans tout ce qui touche à la modernisation et l’amélioration de l’efficacité de l’administration</w:t>
      </w:r>
      <w:r w:rsidR="00CD1937">
        <w:rPr>
          <w:sz w:val="24"/>
        </w:rPr>
        <w:t>, et notamment</w:t>
      </w:r>
      <w:r w:rsidR="007B71B9">
        <w:rPr>
          <w:sz w:val="24"/>
        </w:rPr>
        <w:t xml:space="preserve"> la nouvelle approche du budget par objectifs (GBO)</w:t>
      </w:r>
      <w:r>
        <w:rPr>
          <w:sz w:val="24"/>
        </w:rPr>
        <w:t xml:space="preserve">. </w:t>
      </w:r>
      <w:r w:rsidR="0010361F">
        <w:rPr>
          <w:sz w:val="24"/>
        </w:rPr>
        <w:t>Le développement de l’initiative Open Data</w:t>
      </w:r>
      <w:r>
        <w:rPr>
          <w:sz w:val="24"/>
        </w:rPr>
        <w:t xml:space="preserve"> fournira un cadre fédérateur dans lequel l’ensemble de ces initiatives pourront s’inscrire et publier </w:t>
      </w:r>
      <w:r w:rsidR="002B413B">
        <w:rPr>
          <w:sz w:val="24"/>
        </w:rPr>
        <w:t>leurs données</w:t>
      </w:r>
      <w:r>
        <w:rPr>
          <w:sz w:val="24"/>
        </w:rPr>
        <w:t xml:space="preserve"> de façon centralisée et exploitable informatiquement. Elle offrira également un ensemble de ressources centralisées pour les acteurs non-étatiques comme les organisations de la société civile, les chercheurs, les médias, les développeurs et les entrepreneurs dans les TIC leur permettant de développer des services innovants pour les citoyens et de les informer sur les affaires de l’Etat.</w:t>
      </w:r>
    </w:p>
    <w:p w14:paraId="11C5E6E5" w14:textId="073EF379" w:rsidR="004C4146" w:rsidRDefault="004C4146" w:rsidP="004C4146">
      <w:pPr>
        <w:jc w:val="both"/>
        <w:rPr>
          <w:sz w:val="24"/>
        </w:rPr>
      </w:pPr>
      <w:r>
        <w:rPr>
          <w:sz w:val="24"/>
        </w:rPr>
        <w:t>Concernant la mise</w:t>
      </w:r>
      <w:r w:rsidR="0010361F">
        <w:rPr>
          <w:sz w:val="24"/>
        </w:rPr>
        <w:t xml:space="preserve"> en œuvre du futur plan d’action</w:t>
      </w:r>
      <w:r>
        <w:rPr>
          <w:sz w:val="24"/>
        </w:rPr>
        <w:t xml:space="preserve">, le fait que </w:t>
      </w:r>
      <w:r w:rsidR="0010361F">
        <w:rPr>
          <w:sz w:val="24"/>
        </w:rPr>
        <w:t>l’UAE, dépendant directement de la Présidence du Gouvernement, soit le leader clair de l’initiative</w:t>
      </w:r>
      <w:r w:rsidR="00434C9D">
        <w:rPr>
          <w:sz w:val="24"/>
        </w:rPr>
        <w:t>, reconn</w:t>
      </w:r>
      <w:r w:rsidR="0010361F">
        <w:rPr>
          <w:sz w:val="24"/>
        </w:rPr>
        <w:t>u par tous les ministères</w:t>
      </w:r>
      <w:r w:rsidR="00434C9D">
        <w:rPr>
          <w:sz w:val="24"/>
        </w:rPr>
        <w:t xml:space="preserve">, le fait qu’un réseau de </w:t>
      </w:r>
      <w:r w:rsidR="007B71B9">
        <w:rPr>
          <w:sz w:val="24"/>
        </w:rPr>
        <w:t xml:space="preserve">chargés d’accès à l’information et un réseau de </w:t>
      </w:r>
      <w:r w:rsidR="00434C9D">
        <w:rPr>
          <w:sz w:val="24"/>
        </w:rPr>
        <w:t>chargés d’</w:t>
      </w:r>
      <w:r w:rsidR="004346CE">
        <w:rPr>
          <w:sz w:val="24"/>
        </w:rPr>
        <w:t>Open Data soien</w:t>
      </w:r>
      <w:r w:rsidR="007B71B9">
        <w:rPr>
          <w:sz w:val="24"/>
        </w:rPr>
        <w:t>t</w:t>
      </w:r>
      <w:r w:rsidR="00434C9D">
        <w:rPr>
          <w:sz w:val="24"/>
        </w:rPr>
        <w:t xml:space="preserve"> déjà déployé</w:t>
      </w:r>
      <w:r w:rsidR="007B71B9">
        <w:rPr>
          <w:sz w:val="24"/>
        </w:rPr>
        <w:t>s</w:t>
      </w:r>
      <w:r w:rsidR="0010361F">
        <w:rPr>
          <w:sz w:val="24"/>
        </w:rPr>
        <w:t xml:space="preserve"> </w:t>
      </w:r>
      <w:r w:rsidR="00434C9D">
        <w:rPr>
          <w:sz w:val="24"/>
        </w:rPr>
        <w:t xml:space="preserve">et le fait que naturellement le Gouvernement fonctionne de façon transversale par l’intermédiaire de comités interministériels sur les grands projets nationaux sont autant d’éléments </w:t>
      </w:r>
      <w:r>
        <w:rPr>
          <w:sz w:val="24"/>
        </w:rPr>
        <w:t>qui faciliteront l</w:t>
      </w:r>
      <w:r w:rsidR="00434C9D">
        <w:rPr>
          <w:sz w:val="24"/>
        </w:rPr>
        <w:t>e développement de l’initiative.</w:t>
      </w:r>
    </w:p>
    <w:p w14:paraId="436C33A2" w14:textId="511A5CF6" w:rsidR="00434C9D" w:rsidRDefault="00434C9D" w:rsidP="004C4146">
      <w:pPr>
        <w:jc w:val="both"/>
        <w:rPr>
          <w:sz w:val="24"/>
        </w:rPr>
      </w:pPr>
      <w:r>
        <w:rPr>
          <w:sz w:val="24"/>
        </w:rPr>
        <w:t xml:space="preserve">Sur le plan du cadre légal, la Tunisie dispose d’un cadre législatif adapté à l’Open Data et notamment la nouvelle loi d’accès à l’information qui est reconnue comme </w:t>
      </w:r>
      <w:r w:rsidR="00E82F87">
        <w:rPr>
          <w:sz w:val="24"/>
        </w:rPr>
        <w:t>l’</w:t>
      </w:r>
      <w:r>
        <w:rPr>
          <w:sz w:val="24"/>
        </w:rPr>
        <w:t>une des meilleurs au monde. De nombreuses lois, comme la nouvelle loi de protection des données personnelles, la future loi sur la classification des données informatiques, viendront compléter et renforcer cet arsenal législatif.</w:t>
      </w:r>
    </w:p>
    <w:p w14:paraId="70379F07" w14:textId="3503FA85" w:rsidR="004C4146" w:rsidRDefault="004C4146" w:rsidP="004C4146">
      <w:pPr>
        <w:jc w:val="both"/>
        <w:rPr>
          <w:sz w:val="24"/>
        </w:rPr>
      </w:pPr>
      <w:r>
        <w:rPr>
          <w:sz w:val="24"/>
        </w:rPr>
        <w:t xml:space="preserve">Il est également à noter que cette étude a clairement fait ressortir qu’un </w:t>
      </w:r>
      <w:r w:rsidR="007B71B9">
        <w:rPr>
          <w:sz w:val="24"/>
        </w:rPr>
        <w:t xml:space="preserve">grand nombre </w:t>
      </w:r>
      <w:r>
        <w:rPr>
          <w:sz w:val="24"/>
        </w:rPr>
        <w:t xml:space="preserve">de jeux de données est déjà disponible </w:t>
      </w:r>
      <w:r w:rsidR="007B71B9">
        <w:rPr>
          <w:sz w:val="24"/>
        </w:rPr>
        <w:t>et publié</w:t>
      </w:r>
      <w:r>
        <w:rPr>
          <w:sz w:val="24"/>
        </w:rPr>
        <w:t>. Ce</w:t>
      </w:r>
      <w:r w:rsidR="007B71B9">
        <w:rPr>
          <w:sz w:val="24"/>
        </w:rPr>
        <w:t>s jeux déjà existants fournisse</w:t>
      </w:r>
      <w:r w:rsidR="001C35BA">
        <w:rPr>
          <w:sz w:val="24"/>
        </w:rPr>
        <w:t>nt</w:t>
      </w:r>
      <w:r w:rsidR="007B71B9">
        <w:rPr>
          <w:sz w:val="24"/>
        </w:rPr>
        <w:t xml:space="preserve"> </w:t>
      </w:r>
      <w:r>
        <w:rPr>
          <w:sz w:val="24"/>
        </w:rPr>
        <w:t xml:space="preserve">une masse critique qui </w:t>
      </w:r>
      <w:r w:rsidR="007B71B9">
        <w:rPr>
          <w:sz w:val="24"/>
        </w:rPr>
        <w:t>pourrait être utilisée pour</w:t>
      </w:r>
      <w:r>
        <w:rPr>
          <w:sz w:val="24"/>
        </w:rPr>
        <w:t xml:space="preserve"> démontrer l’intérêt et l’impact d</w:t>
      </w:r>
      <w:r w:rsidR="007B71B9">
        <w:rPr>
          <w:sz w:val="24"/>
        </w:rPr>
        <w:t>e l</w:t>
      </w:r>
      <w:r>
        <w:rPr>
          <w:sz w:val="24"/>
        </w:rPr>
        <w:t xml:space="preserve">’initiative. </w:t>
      </w:r>
      <w:r w:rsidR="007B71B9">
        <w:rPr>
          <w:sz w:val="24"/>
        </w:rPr>
        <w:t xml:space="preserve">Au-delà de ces jeux de données existants, il est clair que l’initiative d’ouverture des données pourra s’appuyer sur un ensemble de ministères </w:t>
      </w:r>
      <w:r w:rsidR="001C35BA">
        <w:rPr>
          <w:sz w:val="24"/>
        </w:rPr>
        <w:t xml:space="preserve">et d’agences </w:t>
      </w:r>
      <w:r w:rsidR="007B71B9">
        <w:rPr>
          <w:sz w:val="24"/>
        </w:rPr>
        <w:t>précurseurs comme le Ministère de l’Intérieur, le Ministère de</w:t>
      </w:r>
      <w:r w:rsidR="002D2D85">
        <w:rPr>
          <w:sz w:val="24"/>
        </w:rPr>
        <w:t>s</w:t>
      </w:r>
      <w:r w:rsidR="007B71B9">
        <w:rPr>
          <w:sz w:val="24"/>
        </w:rPr>
        <w:t xml:space="preserve"> </w:t>
      </w:r>
      <w:r w:rsidR="002D2D85">
        <w:rPr>
          <w:sz w:val="24"/>
        </w:rPr>
        <w:t>Affaires Culturelles</w:t>
      </w:r>
      <w:r w:rsidR="007B71B9">
        <w:rPr>
          <w:sz w:val="24"/>
        </w:rPr>
        <w:t xml:space="preserve">, le Ministère des Finances, </w:t>
      </w:r>
      <w:r w:rsidR="005074FC">
        <w:rPr>
          <w:sz w:val="24"/>
        </w:rPr>
        <w:t xml:space="preserve">le Ministère de l’Industrie et des PMEs, </w:t>
      </w:r>
      <w:r w:rsidR="007B71B9">
        <w:rPr>
          <w:sz w:val="24"/>
        </w:rPr>
        <w:t>le Ministère de l’Energie, des Mines et des Energies Renouvelables</w:t>
      </w:r>
      <w:r w:rsidR="001C35BA">
        <w:rPr>
          <w:sz w:val="24"/>
        </w:rPr>
        <w:t>, L’INS</w:t>
      </w:r>
      <w:r w:rsidR="002D2D85">
        <w:rPr>
          <w:sz w:val="24"/>
        </w:rPr>
        <w:t>,</w:t>
      </w:r>
      <w:r w:rsidR="007B71B9">
        <w:rPr>
          <w:sz w:val="24"/>
        </w:rPr>
        <w:t xml:space="preserve"> voire le Ministère du Transport et le Ministère des Affaires Locales et de l’Environnement qui ont développé </w:t>
      </w:r>
      <w:r w:rsidR="00E82F87">
        <w:rPr>
          <w:sz w:val="24"/>
        </w:rPr>
        <w:t xml:space="preserve">à la fois </w:t>
      </w:r>
      <w:r w:rsidR="007B71B9">
        <w:rPr>
          <w:sz w:val="24"/>
        </w:rPr>
        <w:t xml:space="preserve">des compétences techniques et une vision de l’importance de l’ouverture des données. </w:t>
      </w:r>
    </w:p>
    <w:p w14:paraId="256F07F2" w14:textId="5CD4C36C" w:rsidR="007B71B9" w:rsidRDefault="007B71B9" w:rsidP="004C4146">
      <w:pPr>
        <w:jc w:val="both"/>
        <w:rPr>
          <w:sz w:val="24"/>
        </w:rPr>
      </w:pPr>
      <w:r>
        <w:rPr>
          <w:sz w:val="24"/>
        </w:rPr>
        <w:t>Du côté des acteurs non-gouvernementaux, la Tunisie possède également tous les atouts nécessaires pour tirer profit de l’ouverture des données. Le secteur des TIC est développé et forme de nombreux étudiants à des niveau</w:t>
      </w:r>
      <w:r w:rsidR="00E82F87">
        <w:rPr>
          <w:sz w:val="24"/>
        </w:rPr>
        <w:t>x</w:t>
      </w:r>
      <w:r>
        <w:rPr>
          <w:sz w:val="24"/>
        </w:rPr>
        <w:t xml:space="preserve"> élevés, la communauté des développeurs est très active avec l’organisation d’un très grand nombre d’événements comme des hackathons sur des sujets et des secteurs très variés</w:t>
      </w:r>
      <w:r w:rsidR="00FC6A37">
        <w:rPr>
          <w:sz w:val="24"/>
        </w:rPr>
        <w:t>, et de nombreux centres d’innovation (espace de co-working, incubateurs) existent à Tunis. Le gouvernement s’engage actuellement à développer des conditions favorables pour les startups au travers d’un ensemble de lois et d’incitations à l’innovation. Les organisations de la société civile sont également très actives et engagées. Enfin les infrastructures TIC couvrent une grande partie du pays et le Ministère de TIC et de l’Economie Numérique s’emploie à couvrir les dernières zones blanches du pays. De plus, les co</w:t>
      </w:r>
      <w:r w:rsidR="00E82F87">
        <w:rPr>
          <w:sz w:val="24"/>
        </w:rPr>
        <w:t>û</w:t>
      </w:r>
      <w:r w:rsidR="00FC6A37">
        <w:rPr>
          <w:sz w:val="24"/>
        </w:rPr>
        <w:t>ts d’accès et de connectivité sont</w:t>
      </w:r>
      <w:r w:rsidR="00284161">
        <w:rPr>
          <w:sz w:val="24"/>
        </w:rPr>
        <w:t>, pour l’instant en attendant les impacts potentiels de la loi de finance 2018,</w:t>
      </w:r>
      <w:r w:rsidR="00FC6A37">
        <w:rPr>
          <w:sz w:val="24"/>
        </w:rPr>
        <w:t xml:space="preserve"> très bas et dépasse</w:t>
      </w:r>
      <w:r w:rsidR="00E82F87">
        <w:rPr>
          <w:sz w:val="24"/>
        </w:rPr>
        <w:t>nt</w:t>
      </w:r>
      <w:r w:rsidR="00FC6A37">
        <w:rPr>
          <w:sz w:val="24"/>
        </w:rPr>
        <w:t xml:space="preserve"> largement les objectifs des Nations Unies sur ce sujet</w:t>
      </w:r>
      <w:r w:rsidR="001C35BA">
        <w:rPr>
          <w:sz w:val="24"/>
        </w:rPr>
        <w:t xml:space="preserve"> (&lt;5% du revenu mensuel)</w:t>
      </w:r>
      <w:r w:rsidR="00FC6A37">
        <w:rPr>
          <w:sz w:val="24"/>
        </w:rPr>
        <w:t xml:space="preserve">. </w:t>
      </w:r>
    </w:p>
    <w:p w14:paraId="0167E0C7" w14:textId="60F9CED3" w:rsidR="00FC6A37" w:rsidRDefault="00FC6A37" w:rsidP="004C4146">
      <w:pPr>
        <w:jc w:val="both"/>
        <w:rPr>
          <w:sz w:val="24"/>
        </w:rPr>
      </w:pPr>
      <w:r>
        <w:rPr>
          <w:sz w:val="24"/>
        </w:rPr>
        <w:t xml:space="preserve">Enfin, plusieurs sources de financement </w:t>
      </w:r>
      <w:r w:rsidR="002B413B">
        <w:rPr>
          <w:sz w:val="24"/>
        </w:rPr>
        <w:t>du futur plan</w:t>
      </w:r>
      <w:r>
        <w:rPr>
          <w:sz w:val="24"/>
        </w:rPr>
        <w:t xml:space="preserve"> d’action sont clairement identifiées. De plus, la plupart des ministères précurseurs sur la publication de données utilisent aujourd’hui leurs fonds budgétaires propres pour ces activités, permettant d’envisager positivement la pérennité de l’initiative sur le long terme. </w:t>
      </w:r>
    </w:p>
    <w:p w14:paraId="20DCC675" w14:textId="50DF5B46" w:rsidR="004C4146" w:rsidRDefault="004C4146" w:rsidP="004C4146">
      <w:pPr>
        <w:jc w:val="both"/>
        <w:rPr>
          <w:sz w:val="24"/>
        </w:rPr>
      </w:pPr>
      <w:r>
        <w:rPr>
          <w:sz w:val="24"/>
        </w:rPr>
        <w:t xml:space="preserve">L’ensemble de ces éléments fournit donc des fondations solides pour le </w:t>
      </w:r>
      <w:r w:rsidR="007B71B9">
        <w:rPr>
          <w:sz w:val="24"/>
        </w:rPr>
        <w:t>développement</w:t>
      </w:r>
      <w:r>
        <w:rPr>
          <w:sz w:val="24"/>
        </w:rPr>
        <w:t xml:space="preserve"> d</w:t>
      </w:r>
      <w:r w:rsidR="00FC6A37">
        <w:rPr>
          <w:sz w:val="24"/>
        </w:rPr>
        <w:t>e l’</w:t>
      </w:r>
      <w:r>
        <w:rPr>
          <w:sz w:val="24"/>
        </w:rPr>
        <w:t xml:space="preserve">initiative d’ouverture des </w:t>
      </w:r>
      <w:r w:rsidR="009352D9">
        <w:rPr>
          <w:sz w:val="24"/>
        </w:rPr>
        <w:t>données gouvern</w:t>
      </w:r>
      <w:r w:rsidR="002D2D85">
        <w:rPr>
          <w:sz w:val="24"/>
        </w:rPr>
        <w:t>e</w:t>
      </w:r>
      <w:r w:rsidR="009352D9">
        <w:rPr>
          <w:sz w:val="24"/>
        </w:rPr>
        <w:t>mentales</w:t>
      </w:r>
      <w:r w:rsidR="002D2D85">
        <w:rPr>
          <w:sz w:val="24"/>
        </w:rPr>
        <w:t xml:space="preserve"> </w:t>
      </w:r>
      <w:r>
        <w:rPr>
          <w:sz w:val="24"/>
        </w:rPr>
        <w:t xml:space="preserve">à court terme. </w:t>
      </w:r>
    </w:p>
    <w:p w14:paraId="58F3C127" w14:textId="19026F1F" w:rsidR="004C4146" w:rsidRPr="0043058C" w:rsidRDefault="004C4146" w:rsidP="0043058C">
      <w:pPr>
        <w:jc w:val="both"/>
        <w:rPr>
          <w:sz w:val="24"/>
        </w:rPr>
      </w:pPr>
      <w:r>
        <w:rPr>
          <w:sz w:val="24"/>
        </w:rPr>
        <w:t xml:space="preserve">Toutefois, un certain nombre de défis devront être résolus. </w:t>
      </w:r>
      <w:r w:rsidR="00DE7DEC">
        <w:rPr>
          <w:sz w:val="24"/>
        </w:rPr>
        <w:t>Cinq</w:t>
      </w:r>
      <w:r>
        <w:rPr>
          <w:sz w:val="24"/>
        </w:rPr>
        <w:t xml:space="preserve"> principaux ressortent de l’étude : </w:t>
      </w:r>
    </w:p>
    <w:p w14:paraId="1A45DBAC" w14:textId="52A8A428" w:rsidR="004C4146" w:rsidRDefault="004C4146" w:rsidP="00D5699E">
      <w:pPr>
        <w:pStyle w:val="Paragraphedeliste"/>
        <w:numPr>
          <w:ilvl w:val="0"/>
          <w:numId w:val="121"/>
        </w:numPr>
        <w:jc w:val="both"/>
        <w:rPr>
          <w:sz w:val="24"/>
        </w:rPr>
      </w:pPr>
      <w:r w:rsidRPr="00DE7DEC">
        <w:rPr>
          <w:b/>
          <w:sz w:val="24"/>
        </w:rPr>
        <w:t>La sensibilisation et le renforcement des capacités au sein des agences ministérielles</w:t>
      </w:r>
      <w:r>
        <w:rPr>
          <w:sz w:val="24"/>
        </w:rPr>
        <w:t xml:space="preserve"> : il est clair que le concept d’Open Data </w:t>
      </w:r>
      <w:r w:rsidR="00DE7DEC">
        <w:rPr>
          <w:sz w:val="24"/>
        </w:rPr>
        <w:t>n’</w:t>
      </w:r>
      <w:r>
        <w:rPr>
          <w:sz w:val="24"/>
        </w:rPr>
        <w:t xml:space="preserve">est </w:t>
      </w:r>
      <w:r w:rsidR="00DE7DEC">
        <w:rPr>
          <w:sz w:val="24"/>
        </w:rPr>
        <w:t xml:space="preserve">pas maitrisé dans </w:t>
      </w:r>
      <w:r w:rsidR="001C35BA">
        <w:rPr>
          <w:sz w:val="24"/>
        </w:rPr>
        <w:t>la plupart</w:t>
      </w:r>
      <w:r w:rsidR="00DE7DEC">
        <w:rPr>
          <w:sz w:val="24"/>
        </w:rPr>
        <w:t xml:space="preserve"> des ministères et des structures rencontrés. Il n’y a pas de compréhension claire de la différence entre information et données, entre publication sur un site Web et publication sur un portail de données, ou entre données brutes et statistiques.</w:t>
      </w:r>
      <w:r w:rsidR="002D2D85" w:rsidRPr="002D2D85">
        <w:rPr>
          <w:sz w:val="24"/>
        </w:rPr>
        <w:t xml:space="preserve"> </w:t>
      </w:r>
      <w:r w:rsidR="002D2D85">
        <w:rPr>
          <w:sz w:val="24"/>
        </w:rPr>
        <w:t xml:space="preserve">De plus, </w:t>
      </w:r>
      <w:r w:rsidR="002D2D85" w:rsidRPr="002C10C1">
        <w:rPr>
          <w:sz w:val="24"/>
        </w:rPr>
        <w:t xml:space="preserve">les données </w:t>
      </w:r>
      <w:r w:rsidR="002D2D85">
        <w:rPr>
          <w:sz w:val="24"/>
        </w:rPr>
        <w:t xml:space="preserve">publiées </w:t>
      </w:r>
      <w:r w:rsidR="002D2D85" w:rsidRPr="002C10C1">
        <w:rPr>
          <w:sz w:val="24"/>
        </w:rPr>
        <w:t xml:space="preserve">sur les portails de données ne </w:t>
      </w:r>
      <w:r w:rsidR="002D2D85">
        <w:rPr>
          <w:sz w:val="24"/>
        </w:rPr>
        <w:t>répondent pas forcement aux critères</w:t>
      </w:r>
      <w:r w:rsidR="002D2D85" w:rsidRPr="002C10C1">
        <w:rPr>
          <w:sz w:val="24"/>
        </w:rPr>
        <w:t xml:space="preserve"> de l’Open Data</w:t>
      </w:r>
      <w:r w:rsidR="002D2D85">
        <w:rPr>
          <w:sz w:val="24"/>
        </w:rPr>
        <w:t>.</w:t>
      </w:r>
      <w:r w:rsidR="00DE7DEC">
        <w:rPr>
          <w:sz w:val="24"/>
        </w:rPr>
        <w:t xml:space="preserve"> </w:t>
      </w:r>
      <w:r w:rsidR="00AA5FD4">
        <w:rPr>
          <w:sz w:val="24"/>
        </w:rPr>
        <w:t>Une partie importante d</w:t>
      </w:r>
      <w:r w:rsidR="00DE7DEC">
        <w:rPr>
          <w:sz w:val="24"/>
        </w:rPr>
        <w:t>es acteurs rencontrés ne sont également pas sensibilisé</w:t>
      </w:r>
      <w:r w:rsidR="001C35BA">
        <w:rPr>
          <w:sz w:val="24"/>
        </w:rPr>
        <w:t>s</w:t>
      </w:r>
      <w:r w:rsidR="00DE7DEC">
        <w:rPr>
          <w:sz w:val="24"/>
        </w:rPr>
        <w:t xml:space="preserve"> aux opportunités qu’offre l’Open Data, en termes de développement économique et social du pays mais également en tant q</w:t>
      </w:r>
      <w:r w:rsidR="001C35BA">
        <w:rPr>
          <w:sz w:val="24"/>
        </w:rPr>
        <w:t>u’outil</w:t>
      </w:r>
      <w:r w:rsidR="00DE7DEC">
        <w:rPr>
          <w:sz w:val="24"/>
        </w:rPr>
        <w:t xml:space="preserve"> de travail interne. </w:t>
      </w:r>
      <w:r w:rsidR="00D95A61">
        <w:rPr>
          <w:sz w:val="24"/>
        </w:rPr>
        <w:t>Ils ont également une perception</w:t>
      </w:r>
      <w:r w:rsidR="001C35BA">
        <w:rPr>
          <w:sz w:val="24"/>
        </w:rPr>
        <w:t xml:space="preserve"> erronée des risques potentiel</w:t>
      </w:r>
      <w:r w:rsidR="00D95A61">
        <w:rPr>
          <w:sz w:val="24"/>
        </w:rPr>
        <w:t xml:space="preserve">s, ainsi que de la charge de travail afférente à la publication. </w:t>
      </w:r>
      <w:r>
        <w:rPr>
          <w:sz w:val="24"/>
        </w:rPr>
        <w:t>Il</w:t>
      </w:r>
      <w:r w:rsidR="00DE7DEC">
        <w:rPr>
          <w:sz w:val="24"/>
        </w:rPr>
        <w:t xml:space="preserve"> sera indispensable de mener d</w:t>
      </w:r>
      <w:r>
        <w:rPr>
          <w:sz w:val="24"/>
        </w:rPr>
        <w:t xml:space="preserve">es actions de sensibilisation </w:t>
      </w:r>
      <w:r w:rsidR="00DE7DEC">
        <w:rPr>
          <w:sz w:val="24"/>
        </w:rPr>
        <w:t xml:space="preserve">à plusieurs niveaux depuis le Ministre jusqu’aux chargés d’accès à l’information et aux équipes techniques en passant par l’administration intermédiaire (Directeurs Généraux, Directeurs et sous-directeurs).  </w:t>
      </w:r>
    </w:p>
    <w:p w14:paraId="2C802FB3" w14:textId="2AAE7A4F" w:rsidR="00DE7DEC" w:rsidRDefault="00DE7DEC" w:rsidP="00D5699E">
      <w:pPr>
        <w:pStyle w:val="Paragraphedeliste"/>
        <w:numPr>
          <w:ilvl w:val="0"/>
          <w:numId w:val="121"/>
        </w:numPr>
        <w:jc w:val="both"/>
        <w:rPr>
          <w:sz w:val="24"/>
        </w:rPr>
      </w:pPr>
      <w:r>
        <w:rPr>
          <w:b/>
          <w:sz w:val="24"/>
        </w:rPr>
        <w:t>Le leadership </w:t>
      </w:r>
      <w:r w:rsidRPr="00DE7DEC">
        <w:rPr>
          <w:sz w:val="24"/>
        </w:rPr>
        <w:t>:</w:t>
      </w:r>
      <w:r>
        <w:rPr>
          <w:sz w:val="24"/>
        </w:rPr>
        <w:t xml:space="preserve"> Les rencontres durant la mission font clairement ressortir que les initiatives au niveau des ministères dépendent aujourd’hui largement de la personnalité des ministres qui peuvent soit créer une dynamique soit la stopper. Cet état de fait est lié</w:t>
      </w:r>
      <w:r w:rsidR="00D95A61">
        <w:rPr>
          <w:sz w:val="24"/>
        </w:rPr>
        <w:t xml:space="preserve"> au manque d’appui et d’engagement à ce jour des autorités politiques les plus hautes (</w:t>
      </w:r>
      <w:r w:rsidR="009E42EF">
        <w:rPr>
          <w:sz w:val="24"/>
        </w:rPr>
        <w:t>Chef du Gouvernement</w:t>
      </w:r>
      <w:r w:rsidR="00D95A61">
        <w:rPr>
          <w:sz w:val="24"/>
        </w:rPr>
        <w:t>, Président</w:t>
      </w:r>
      <w:r w:rsidR="009E42EF">
        <w:rPr>
          <w:sz w:val="24"/>
        </w:rPr>
        <w:t xml:space="preserve"> de la République</w:t>
      </w:r>
      <w:r w:rsidR="00D95A61">
        <w:rPr>
          <w:sz w:val="24"/>
        </w:rPr>
        <w:t>) sur le sujet.</w:t>
      </w:r>
    </w:p>
    <w:p w14:paraId="0961CD70" w14:textId="71F824C6" w:rsidR="00D95A61" w:rsidRDefault="00D95A61" w:rsidP="00D5699E">
      <w:pPr>
        <w:pStyle w:val="Paragraphedeliste"/>
        <w:numPr>
          <w:ilvl w:val="0"/>
          <w:numId w:val="121"/>
        </w:numPr>
        <w:jc w:val="both"/>
        <w:rPr>
          <w:sz w:val="24"/>
        </w:rPr>
      </w:pPr>
      <w:r w:rsidRPr="00D95A61">
        <w:rPr>
          <w:b/>
          <w:sz w:val="24"/>
        </w:rPr>
        <w:t>La coordination des activités</w:t>
      </w:r>
      <w:r>
        <w:rPr>
          <w:sz w:val="24"/>
        </w:rPr>
        <w:t> : A l’heure actuelle, chaque ministère précurseur développe sa propre initiat</w:t>
      </w:r>
      <w:r w:rsidR="001C35BA">
        <w:rPr>
          <w:sz w:val="24"/>
        </w:rPr>
        <w:t>ive d’ouverture des données sans coordination</w:t>
      </w:r>
      <w:r>
        <w:rPr>
          <w:sz w:val="24"/>
        </w:rPr>
        <w:t xml:space="preserve"> avec les autres ministères ou l’UAE. Ce manque de coordination se traduit par une très grande hétérogénéité entre les plateformes, les standards techniques et les licences adoptées dans les différentes structures, et </w:t>
      </w:r>
      <w:r w:rsidR="001C35BA">
        <w:rPr>
          <w:sz w:val="24"/>
        </w:rPr>
        <w:t>entraine une</w:t>
      </w:r>
      <w:r>
        <w:rPr>
          <w:sz w:val="24"/>
        </w:rPr>
        <w:t xml:space="preserve"> duplication d’efforts dans les investissements à la fois humain et financier. </w:t>
      </w:r>
    </w:p>
    <w:p w14:paraId="5A9CEE74" w14:textId="64A1F180" w:rsidR="00D95A61" w:rsidRDefault="00D95A61" w:rsidP="00D5699E">
      <w:pPr>
        <w:pStyle w:val="Paragraphedeliste"/>
        <w:numPr>
          <w:ilvl w:val="0"/>
          <w:numId w:val="121"/>
        </w:numPr>
        <w:jc w:val="both"/>
        <w:rPr>
          <w:sz w:val="24"/>
        </w:rPr>
      </w:pPr>
      <w:r w:rsidRPr="00D95A61">
        <w:rPr>
          <w:b/>
          <w:sz w:val="24"/>
        </w:rPr>
        <w:t>Le cadre réglementaire et législatif</w:t>
      </w:r>
      <w:r>
        <w:rPr>
          <w:sz w:val="24"/>
        </w:rPr>
        <w:t> : Si le cadre législatif est approprié pour l’Open Data, il est en pleine mutation. La loi d’accès à l’information n’a pas encore de décret d’application, et de nombreuses lois qui ont un impact sur l’Open Data sont en cours de discussion. Il conviendra donc d’être très attentif à ces différentes législations à venir, et s’assurer qu’elles contribuent efficacement au développement de l’Open Data et ne crée</w:t>
      </w:r>
      <w:r w:rsidR="00E82F87">
        <w:rPr>
          <w:sz w:val="24"/>
        </w:rPr>
        <w:t>nt</w:t>
      </w:r>
      <w:r>
        <w:rPr>
          <w:sz w:val="24"/>
        </w:rPr>
        <w:t xml:space="preserve"> ni obstacle ni frein au développement de l’initiative d’ouverture.</w:t>
      </w:r>
    </w:p>
    <w:p w14:paraId="05092703" w14:textId="5B88D8D1" w:rsidR="004C4146" w:rsidRDefault="004C4146" w:rsidP="00D5699E">
      <w:pPr>
        <w:pStyle w:val="Paragraphedeliste"/>
        <w:numPr>
          <w:ilvl w:val="0"/>
          <w:numId w:val="121"/>
        </w:numPr>
        <w:jc w:val="both"/>
        <w:rPr>
          <w:sz w:val="24"/>
        </w:rPr>
      </w:pPr>
      <w:r w:rsidRPr="0043058C">
        <w:rPr>
          <w:b/>
          <w:sz w:val="24"/>
        </w:rPr>
        <w:t xml:space="preserve">La </w:t>
      </w:r>
      <w:r w:rsidR="0043058C" w:rsidRPr="0043058C">
        <w:rPr>
          <w:b/>
          <w:sz w:val="24"/>
        </w:rPr>
        <w:t>coordination avec l</w:t>
      </w:r>
      <w:r w:rsidRPr="0043058C">
        <w:rPr>
          <w:b/>
          <w:sz w:val="24"/>
        </w:rPr>
        <w:t>es acteurs non-étatiques (société civile, média, secteur privé des TIC, développeurs informatiques, chercheurs, etc.)</w:t>
      </w:r>
      <w:r>
        <w:rPr>
          <w:sz w:val="24"/>
        </w:rPr>
        <w:t xml:space="preserve"> :</w:t>
      </w:r>
      <w:r>
        <w:t xml:space="preserve"> </w:t>
      </w:r>
      <w:r w:rsidR="0043058C">
        <w:t xml:space="preserve"> </w:t>
      </w:r>
      <w:r w:rsidR="0043058C">
        <w:rPr>
          <w:sz w:val="24"/>
          <w:szCs w:val="24"/>
        </w:rPr>
        <w:t>Une des raisons majeures du manque d’impact de l’ouverture des données qui est déjà en place est liée au manque de coordination et de communication entre les acteurs gouvernementaux et les acteurs non-gouvernementaux. La quasi-totalité des activités des acteurs non-gouvernementaux</w:t>
      </w:r>
      <w:r w:rsidR="001C35BA">
        <w:rPr>
          <w:sz w:val="24"/>
          <w:szCs w:val="24"/>
        </w:rPr>
        <w:t xml:space="preserve"> n’intègre pas l’utilisation de</w:t>
      </w:r>
      <w:r w:rsidR="0043058C">
        <w:rPr>
          <w:sz w:val="24"/>
          <w:szCs w:val="24"/>
        </w:rPr>
        <w:t xml:space="preserve"> données publiques. Plusieurs </w:t>
      </w:r>
      <w:r w:rsidR="001C35BA">
        <w:rPr>
          <w:sz w:val="24"/>
          <w:szCs w:val="24"/>
        </w:rPr>
        <w:t>acteurs rencontrés ont souligné</w:t>
      </w:r>
      <w:r w:rsidR="0043058C">
        <w:rPr>
          <w:sz w:val="24"/>
          <w:szCs w:val="24"/>
        </w:rPr>
        <w:t xml:space="preserve"> </w:t>
      </w:r>
      <w:r w:rsidR="002B413B">
        <w:rPr>
          <w:sz w:val="24"/>
          <w:szCs w:val="24"/>
        </w:rPr>
        <w:t>la faible valeur</w:t>
      </w:r>
      <w:r w:rsidR="0043058C">
        <w:rPr>
          <w:sz w:val="24"/>
          <w:szCs w:val="24"/>
        </w:rPr>
        <w:t xml:space="preserve"> des données publiées, et le manque de données utiles. D’un autre côté, les acteurs gouvernementaux sont en demande d’exemple</w:t>
      </w:r>
      <w:r w:rsidR="001C35BA">
        <w:rPr>
          <w:sz w:val="24"/>
          <w:szCs w:val="24"/>
        </w:rPr>
        <w:t>s</w:t>
      </w:r>
      <w:r w:rsidR="0043058C">
        <w:rPr>
          <w:sz w:val="24"/>
          <w:szCs w:val="24"/>
        </w:rPr>
        <w:t xml:space="preserve"> de réutilisation pour motiver la publication, mais regrettent l’absence de cette demande. Enfin le Ministère des Finances et le Ministère de l’Energie, des Mines et des En</w:t>
      </w:r>
      <w:r w:rsidR="001C35BA">
        <w:rPr>
          <w:sz w:val="24"/>
          <w:szCs w:val="24"/>
        </w:rPr>
        <w:t>ergies Renouvelables soulignent</w:t>
      </w:r>
      <w:r w:rsidR="0043058C">
        <w:rPr>
          <w:sz w:val="24"/>
          <w:szCs w:val="24"/>
        </w:rPr>
        <w:t xml:space="preserve"> l’impact positif de la mise en place de comités mixtes avec les acteurs </w:t>
      </w:r>
      <w:r w:rsidR="001C35BA">
        <w:rPr>
          <w:sz w:val="24"/>
          <w:szCs w:val="24"/>
        </w:rPr>
        <w:t>non-</w:t>
      </w:r>
      <w:r w:rsidR="0043058C">
        <w:rPr>
          <w:sz w:val="24"/>
          <w:szCs w:val="24"/>
        </w:rPr>
        <w:t>gouvernementaux qui ont eu une influence positive sur le processus de publication de données. Malheureusement ces deux initiatives n’ont pas été poursuivi</w:t>
      </w:r>
      <w:r w:rsidR="001C35BA">
        <w:rPr>
          <w:sz w:val="24"/>
          <w:szCs w:val="24"/>
        </w:rPr>
        <w:t>es</w:t>
      </w:r>
      <w:r w:rsidR="0043058C">
        <w:rPr>
          <w:sz w:val="24"/>
          <w:szCs w:val="24"/>
        </w:rPr>
        <w:t xml:space="preserve"> dans le temps suite à des changements ministériels (cf. point 3). Il conviendra donc d’instaurer un cadre pérenne pour un dialogue soutenu entre les acteurs non-gouvernementaux et l’administration. </w:t>
      </w:r>
    </w:p>
    <w:p w14:paraId="4B2A432E" w14:textId="32BEA59D" w:rsidR="004C4146" w:rsidRDefault="00E82F87" w:rsidP="004C4146">
      <w:pPr>
        <w:jc w:val="both"/>
        <w:rPr>
          <w:sz w:val="24"/>
        </w:rPr>
      </w:pPr>
      <w:r>
        <w:rPr>
          <w:sz w:val="24"/>
        </w:rPr>
        <w:t>Outre</w:t>
      </w:r>
      <w:r w:rsidR="0043058C">
        <w:rPr>
          <w:sz w:val="24"/>
        </w:rPr>
        <w:t xml:space="preserve"> ces cinq points majeurs, l’initiative d’ouverture des </w:t>
      </w:r>
      <w:r w:rsidR="009352D9">
        <w:rPr>
          <w:sz w:val="24"/>
        </w:rPr>
        <w:t>données gouvern</w:t>
      </w:r>
      <w:r w:rsidR="002D2D85">
        <w:rPr>
          <w:sz w:val="24"/>
        </w:rPr>
        <w:t>e</w:t>
      </w:r>
      <w:r w:rsidR="009352D9">
        <w:rPr>
          <w:sz w:val="24"/>
        </w:rPr>
        <w:t>mentales</w:t>
      </w:r>
      <w:r w:rsidR="002D2D85">
        <w:rPr>
          <w:sz w:val="24"/>
        </w:rPr>
        <w:t xml:space="preserve"> </w:t>
      </w:r>
      <w:r w:rsidR="001C35BA">
        <w:rPr>
          <w:sz w:val="24"/>
        </w:rPr>
        <w:t>bénéficierait également</w:t>
      </w:r>
      <w:r w:rsidR="0043058C">
        <w:rPr>
          <w:sz w:val="24"/>
        </w:rPr>
        <w:t xml:space="preserve"> de la mise en place d’un inventaire de données ainsi que d’un référentiel de données pour faciliter à la fois la publication des données, et </w:t>
      </w:r>
      <w:r w:rsidR="002B413B">
        <w:rPr>
          <w:sz w:val="24"/>
        </w:rPr>
        <w:t>leurs réutilisations</w:t>
      </w:r>
      <w:r w:rsidR="0043058C">
        <w:rPr>
          <w:sz w:val="24"/>
        </w:rPr>
        <w:t>.</w:t>
      </w:r>
    </w:p>
    <w:p w14:paraId="2F60122E" w14:textId="77777777" w:rsidR="004C4146" w:rsidRDefault="004C4146" w:rsidP="004C4146">
      <w:pPr>
        <w:pStyle w:val="Titre2"/>
      </w:pPr>
      <w:bookmarkStart w:id="33" w:name="_Toc459307845"/>
      <w:bookmarkStart w:id="34" w:name="_Toc453941359"/>
      <w:bookmarkStart w:id="35" w:name="_Toc496544786"/>
      <w:r>
        <w:t>Recommandations</w:t>
      </w:r>
      <w:bookmarkEnd w:id="33"/>
      <w:bookmarkEnd w:id="34"/>
      <w:bookmarkEnd w:id="35"/>
    </w:p>
    <w:p w14:paraId="0682BDDC" w14:textId="77777777" w:rsidR="002D2D85" w:rsidRDefault="004C4146" w:rsidP="004C4146">
      <w:pPr>
        <w:jc w:val="both"/>
        <w:rPr>
          <w:sz w:val="24"/>
        </w:rPr>
      </w:pPr>
      <w:r>
        <w:rPr>
          <w:sz w:val="24"/>
        </w:rPr>
        <w:t xml:space="preserve">Cette étude propose un plan d’actions qui est détaillé dans la section suivante selon chacun des 8 thèmes de la méthodologie ODRA.  De façon synthétique, en agençant les points selon les responsabilités des différents acteurs, il s’articule autour de 3 axes principaux : </w:t>
      </w:r>
    </w:p>
    <w:p w14:paraId="1F6CE934" w14:textId="56E4389F" w:rsidR="002D2D85" w:rsidRPr="001B6DD5" w:rsidRDefault="004C4146" w:rsidP="00D5699E">
      <w:pPr>
        <w:pStyle w:val="Paragraphedeliste"/>
        <w:numPr>
          <w:ilvl w:val="0"/>
          <w:numId w:val="122"/>
        </w:numPr>
        <w:jc w:val="both"/>
        <w:rPr>
          <w:sz w:val="24"/>
        </w:rPr>
      </w:pPr>
      <w:r w:rsidRPr="001B6DD5">
        <w:rPr>
          <w:sz w:val="24"/>
        </w:rPr>
        <w:t xml:space="preserve">le </w:t>
      </w:r>
      <w:r w:rsidR="00D5146A" w:rsidRPr="001B6DD5">
        <w:rPr>
          <w:sz w:val="24"/>
        </w:rPr>
        <w:t>cadre législatif</w:t>
      </w:r>
      <w:r w:rsidR="003517A2" w:rsidRPr="001B6DD5">
        <w:rPr>
          <w:sz w:val="24"/>
        </w:rPr>
        <w:t xml:space="preserve"> et le leadership</w:t>
      </w:r>
      <w:r w:rsidRPr="001B6DD5">
        <w:rPr>
          <w:sz w:val="24"/>
        </w:rPr>
        <w:t>, regroupant principalement les dimensions  « leadership » et  « Cadre réglementaire et juridique » de la méthodologie ODRA</w:t>
      </w:r>
      <w:r w:rsidR="002D2D85" w:rsidRPr="001B6DD5">
        <w:rPr>
          <w:sz w:val="24"/>
        </w:rPr>
        <w:t> ;</w:t>
      </w:r>
      <w:r w:rsidRPr="001B6DD5">
        <w:rPr>
          <w:sz w:val="24"/>
        </w:rPr>
        <w:t xml:space="preserve"> </w:t>
      </w:r>
    </w:p>
    <w:p w14:paraId="6F8A4023" w14:textId="6AF9D098" w:rsidR="002D2D85" w:rsidRDefault="004C4146" w:rsidP="00D5699E">
      <w:pPr>
        <w:pStyle w:val="Paragraphedeliste"/>
        <w:numPr>
          <w:ilvl w:val="0"/>
          <w:numId w:val="122"/>
        </w:numPr>
        <w:jc w:val="both"/>
        <w:rPr>
          <w:sz w:val="24"/>
        </w:rPr>
      </w:pPr>
      <w:r w:rsidRPr="001B6DD5">
        <w:rPr>
          <w:sz w:val="24"/>
        </w:rPr>
        <w:t xml:space="preserve">la mise en œuvre opérationnelle, regroupant principalement les dimensions « Structures institutionnelles, responsabilités et compétences au sein du gouvernement », « Données au sein du gouvernement, Réglementations et procédures de la gestion des données gouvernementales », « Financement d’un programme d’ouverture des </w:t>
      </w:r>
      <w:r w:rsidR="009352D9" w:rsidRPr="001B6DD5">
        <w:rPr>
          <w:sz w:val="24"/>
        </w:rPr>
        <w:t>données gouvern</w:t>
      </w:r>
      <w:r w:rsidR="002D2D85">
        <w:rPr>
          <w:sz w:val="24"/>
        </w:rPr>
        <w:t>e</w:t>
      </w:r>
      <w:r w:rsidR="009352D9" w:rsidRPr="001B6DD5">
        <w:rPr>
          <w:sz w:val="24"/>
        </w:rPr>
        <w:t>mentales</w:t>
      </w:r>
      <w:r w:rsidRPr="001B6DD5">
        <w:rPr>
          <w:sz w:val="24"/>
        </w:rPr>
        <w:t>» et « Infrastructures nationales technologiques et compétences informatiques »  et</w:t>
      </w:r>
      <w:r w:rsidR="002D2D85" w:rsidRPr="001B6DD5">
        <w:rPr>
          <w:sz w:val="24"/>
        </w:rPr>
        <w:t xml:space="preserve"> </w:t>
      </w:r>
    </w:p>
    <w:p w14:paraId="13A639B8" w14:textId="0CC440A5" w:rsidR="004C4146" w:rsidRPr="001B6DD5" w:rsidRDefault="004C4146" w:rsidP="00D5699E">
      <w:pPr>
        <w:pStyle w:val="Paragraphedeliste"/>
        <w:numPr>
          <w:ilvl w:val="0"/>
          <w:numId w:val="122"/>
        </w:numPr>
        <w:jc w:val="both"/>
        <w:rPr>
          <w:sz w:val="24"/>
        </w:rPr>
      </w:pPr>
      <w:r w:rsidRPr="001B6DD5">
        <w:rPr>
          <w:sz w:val="24"/>
        </w:rPr>
        <w:t>les acteurs non-étatiques,</w:t>
      </w:r>
      <w:r>
        <w:t xml:space="preserve"> </w:t>
      </w:r>
      <w:r w:rsidRPr="001B6DD5">
        <w:rPr>
          <w:sz w:val="24"/>
        </w:rPr>
        <w:t>regroupant principalement les dimensions  « Demande concernant l’ouverture des données publiques» et  «  Engagement citoyen et capacités concernant les données publiques ».</w:t>
      </w:r>
    </w:p>
    <w:p w14:paraId="387D10C9" w14:textId="197A08E0" w:rsidR="003517A2" w:rsidRDefault="004C4146" w:rsidP="004C4146">
      <w:pPr>
        <w:spacing w:after="0"/>
        <w:jc w:val="both"/>
        <w:rPr>
          <w:sz w:val="24"/>
        </w:rPr>
      </w:pPr>
      <w:r>
        <w:rPr>
          <w:sz w:val="24"/>
        </w:rPr>
        <w:t>Concernant le cadre législatif</w:t>
      </w:r>
      <w:r w:rsidR="00F03EC0">
        <w:rPr>
          <w:sz w:val="24"/>
        </w:rPr>
        <w:t xml:space="preserve"> et le leadership</w:t>
      </w:r>
      <w:r>
        <w:rPr>
          <w:sz w:val="24"/>
        </w:rPr>
        <w:t>,</w:t>
      </w:r>
      <w:r w:rsidR="003517A2">
        <w:rPr>
          <w:sz w:val="24"/>
        </w:rPr>
        <w:t xml:space="preserve"> une des première</w:t>
      </w:r>
      <w:r w:rsidR="001C35BA">
        <w:rPr>
          <w:sz w:val="24"/>
        </w:rPr>
        <w:t>s</w:t>
      </w:r>
      <w:r w:rsidR="003517A2">
        <w:rPr>
          <w:sz w:val="24"/>
        </w:rPr>
        <w:t xml:space="preserve"> </w:t>
      </w:r>
      <w:r w:rsidR="00A120F6">
        <w:rPr>
          <w:sz w:val="24"/>
        </w:rPr>
        <w:t>action</w:t>
      </w:r>
      <w:r w:rsidR="001C35BA">
        <w:rPr>
          <w:sz w:val="24"/>
        </w:rPr>
        <w:t>s</w:t>
      </w:r>
      <w:r w:rsidR="003517A2">
        <w:rPr>
          <w:sz w:val="24"/>
        </w:rPr>
        <w:t xml:space="preserve"> devrait être l’annonce officielle du lancement d’une initiative d’ouverture des données publiques. Cette annonce officielle permettrait de fédérer l’ensemble des activités en cours et de créer une dynamique. Le poids de cette annonce serait particulièrement important si elle était portée par le Chef du Gouvernement</w:t>
      </w:r>
      <w:r w:rsidR="00A120F6">
        <w:rPr>
          <w:sz w:val="24"/>
        </w:rPr>
        <w:t xml:space="preserve"> qui</w:t>
      </w:r>
      <w:r w:rsidR="003517A2">
        <w:rPr>
          <w:sz w:val="24"/>
        </w:rPr>
        <w:t xml:space="preserve"> donnerait le cap à l’ensemble des Ministres. Le premier chantier de cette initiative devrait être le développement d’une législation spécifique à l’Open Data. Cette législation pourrait prendre la forme d’un décret d’application de la loi d’accès à l’information et devrait comporter plusieurs éléments comme l’ouverture des données par défaut, les licences, la publication sur des portails de données, les standards à utiliser, l’obligation de maintenir un inventaire de données avec un ensemble d’information</w:t>
      </w:r>
      <w:r w:rsidR="00E82F87">
        <w:rPr>
          <w:sz w:val="24"/>
        </w:rPr>
        <w:t>s</w:t>
      </w:r>
      <w:r w:rsidR="003517A2">
        <w:rPr>
          <w:sz w:val="24"/>
        </w:rPr>
        <w:t xml:space="preserve">, </w:t>
      </w:r>
      <w:r w:rsidR="00A120F6">
        <w:rPr>
          <w:sz w:val="24"/>
        </w:rPr>
        <w:t xml:space="preserve">l’obligation de publier </w:t>
      </w:r>
      <w:r w:rsidR="003517A2">
        <w:rPr>
          <w:sz w:val="24"/>
        </w:rPr>
        <w:t>un minimum de données ouvertes (les données rendu</w:t>
      </w:r>
      <w:r w:rsidR="00E82F87">
        <w:rPr>
          <w:sz w:val="24"/>
        </w:rPr>
        <w:t>es</w:t>
      </w:r>
      <w:r w:rsidR="003517A2">
        <w:rPr>
          <w:sz w:val="24"/>
        </w:rPr>
        <w:t xml:space="preserve"> obligatoire</w:t>
      </w:r>
      <w:r w:rsidR="00E82F87">
        <w:rPr>
          <w:sz w:val="24"/>
        </w:rPr>
        <w:t>s</w:t>
      </w:r>
      <w:r w:rsidR="003517A2">
        <w:rPr>
          <w:sz w:val="24"/>
        </w:rPr>
        <w:t xml:space="preserve"> par la loi d’accès), et un plan de suivi et </w:t>
      </w:r>
      <w:r w:rsidR="00E82F87">
        <w:rPr>
          <w:sz w:val="24"/>
        </w:rPr>
        <w:t>d’</w:t>
      </w:r>
      <w:r w:rsidR="003517A2">
        <w:rPr>
          <w:sz w:val="24"/>
        </w:rPr>
        <w:t xml:space="preserve">évaluation à adopter par chaque ministère et au niveau </w:t>
      </w:r>
      <w:r w:rsidR="00A120F6">
        <w:rPr>
          <w:sz w:val="24"/>
        </w:rPr>
        <w:t>national</w:t>
      </w:r>
      <w:r w:rsidR="003517A2">
        <w:rPr>
          <w:sz w:val="24"/>
        </w:rPr>
        <w:t xml:space="preserve">. Ce décret devrait aussi porter </w:t>
      </w:r>
      <w:r w:rsidR="00E82F87">
        <w:rPr>
          <w:sz w:val="24"/>
        </w:rPr>
        <w:t xml:space="preserve">sur la </w:t>
      </w:r>
      <w:r w:rsidR="003517A2">
        <w:rPr>
          <w:sz w:val="24"/>
        </w:rPr>
        <w:t>création des différentes structures organisationnelles nécessaire</w:t>
      </w:r>
      <w:r w:rsidR="00A120F6">
        <w:rPr>
          <w:sz w:val="24"/>
        </w:rPr>
        <w:t>s</w:t>
      </w:r>
      <w:r w:rsidR="003517A2">
        <w:rPr>
          <w:sz w:val="24"/>
        </w:rPr>
        <w:t xml:space="preserve"> et devrait formaliser la création des points focaux Open Data, avec leur rôle, leur profil</w:t>
      </w:r>
      <w:r w:rsidR="001C35BA">
        <w:rPr>
          <w:sz w:val="24"/>
        </w:rPr>
        <w:t>, et les interactions avec les c</w:t>
      </w:r>
      <w:r w:rsidR="003517A2">
        <w:rPr>
          <w:sz w:val="24"/>
        </w:rPr>
        <w:t>hargés d’accès. E</w:t>
      </w:r>
      <w:r w:rsidR="00A120F6">
        <w:rPr>
          <w:sz w:val="24"/>
        </w:rPr>
        <w:t>nfin ce décret devrait mentionner</w:t>
      </w:r>
      <w:r w:rsidR="003517A2">
        <w:rPr>
          <w:sz w:val="24"/>
        </w:rPr>
        <w:t xml:space="preserve"> la gratuité des données.</w:t>
      </w:r>
    </w:p>
    <w:p w14:paraId="79B337C9" w14:textId="77777777" w:rsidR="001F29A0" w:rsidRDefault="001F29A0" w:rsidP="004C4146">
      <w:pPr>
        <w:spacing w:after="0"/>
        <w:jc w:val="both"/>
        <w:rPr>
          <w:sz w:val="24"/>
        </w:rPr>
      </w:pPr>
    </w:p>
    <w:p w14:paraId="6EBB36E6" w14:textId="7E0E4796" w:rsidR="00A120F6" w:rsidRDefault="00A120F6" w:rsidP="00070851">
      <w:pPr>
        <w:spacing w:after="0"/>
        <w:jc w:val="both"/>
        <w:rPr>
          <w:sz w:val="24"/>
        </w:rPr>
      </w:pPr>
      <w:r>
        <w:rPr>
          <w:sz w:val="24"/>
        </w:rPr>
        <w:t xml:space="preserve">Concernant la mise en œuvre opérationnelle, </w:t>
      </w:r>
      <w:r w:rsidR="00070851">
        <w:rPr>
          <w:sz w:val="24"/>
        </w:rPr>
        <w:t>un</w:t>
      </w:r>
      <w:r>
        <w:rPr>
          <w:sz w:val="24"/>
        </w:rPr>
        <w:t xml:space="preserve"> </w:t>
      </w:r>
      <w:r w:rsidR="00070851" w:rsidRPr="00070851">
        <w:rPr>
          <w:sz w:val="24"/>
        </w:rPr>
        <w:t xml:space="preserve">comité de pilotage (CoPil) </w:t>
      </w:r>
      <w:r>
        <w:rPr>
          <w:sz w:val="24"/>
        </w:rPr>
        <w:t>devrai</w:t>
      </w:r>
      <w:r w:rsidR="001C35BA">
        <w:rPr>
          <w:sz w:val="24"/>
        </w:rPr>
        <w:t>t être créé</w:t>
      </w:r>
      <w:r w:rsidR="00070851">
        <w:rPr>
          <w:sz w:val="24"/>
        </w:rPr>
        <w:t xml:space="preserve"> </w:t>
      </w:r>
      <w:r w:rsidR="00070851" w:rsidRPr="00070851">
        <w:rPr>
          <w:sz w:val="24"/>
        </w:rPr>
        <w:t>pour conduire l’initiative</w:t>
      </w:r>
      <w:r w:rsidR="00070851">
        <w:rPr>
          <w:sz w:val="24"/>
        </w:rPr>
        <w:t>.  A</w:t>
      </w:r>
      <w:r>
        <w:rPr>
          <w:sz w:val="24"/>
        </w:rPr>
        <w:t xml:space="preserve">u vu des rencontres lors de la mission, ce CoPil devrait inclure l’UAE (leader), l’INS pour son expertise dans l’anonymisation des données et dans le référentiel de données, les Archives Nationales pour son expertise dans les plans de classification, Le MTCEN </w:t>
      </w:r>
      <w:r w:rsidR="005074FC">
        <w:rPr>
          <w:sz w:val="24"/>
        </w:rPr>
        <w:t xml:space="preserve">et l’ANSI </w:t>
      </w:r>
      <w:r>
        <w:rPr>
          <w:sz w:val="24"/>
        </w:rPr>
        <w:t xml:space="preserve">pour la composante TIC et les travaux en cours sur la classification des données informatiques, la DGRPA pour la partie législative. Ce comité pourrait éventuellement également </w:t>
      </w:r>
      <w:r w:rsidR="002B413B">
        <w:rPr>
          <w:sz w:val="24"/>
        </w:rPr>
        <w:t>intégrer</w:t>
      </w:r>
      <w:r>
        <w:rPr>
          <w:sz w:val="24"/>
        </w:rPr>
        <w:t xml:space="preserve"> un représentant de l’INPDP pour l’anonymisation des données.</w:t>
      </w:r>
    </w:p>
    <w:p w14:paraId="75CA1D90" w14:textId="77777777" w:rsidR="003517A2" w:rsidRDefault="003517A2" w:rsidP="004C4146">
      <w:pPr>
        <w:spacing w:after="0"/>
        <w:jc w:val="both"/>
        <w:rPr>
          <w:sz w:val="24"/>
        </w:rPr>
      </w:pPr>
    </w:p>
    <w:p w14:paraId="020291A0" w14:textId="73D3B620" w:rsidR="004C4146" w:rsidRDefault="004C4146" w:rsidP="004C4146">
      <w:pPr>
        <w:jc w:val="both"/>
        <w:rPr>
          <w:sz w:val="24"/>
        </w:rPr>
      </w:pPr>
      <w:r>
        <w:rPr>
          <w:sz w:val="24"/>
        </w:rPr>
        <w:t>Le C</w:t>
      </w:r>
      <w:r w:rsidR="009A3406">
        <w:rPr>
          <w:sz w:val="24"/>
        </w:rPr>
        <w:t>o</w:t>
      </w:r>
      <w:r>
        <w:rPr>
          <w:sz w:val="24"/>
        </w:rPr>
        <w:t>P</w:t>
      </w:r>
      <w:r w:rsidR="009A3406">
        <w:rPr>
          <w:sz w:val="24"/>
        </w:rPr>
        <w:t>il</w:t>
      </w:r>
      <w:r>
        <w:rPr>
          <w:sz w:val="24"/>
        </w:rPr>
        <w:t xml:space="preserve"> formera ensuite des groupes de travail spécifiques par thématique qui seront constitués d’au moins un représentant du comité de pilotage et d’acteurs extérieurs spécifiques à la thématique. Le rôle de ces groupes serait d’implémenter les activités </w:t>
      </w:r>
      <w:r w:rsidR="005074FC">
        <w:rPr>
          <w:sz w:val="24"/>
        </w:rPr>
        <w:t xml:space="preserve">validées </w:t>
      </w:r>
      <w:r>
        <w:rPr>
          <w:sz w:val="24"/>
        </w:rPr>
        <w:t xml:space="preserve">par le </w:t>
      </w:r>
      <w:r w:rsidR="00D420BC">
        <w:rPr>
          <w:sz w:val="24"/>
        </w:rPr>
        <w:t>CoPil</w:t>
      </w:r>
      <w:r>
        <w:rPr>
          <w:sz w:val="24"/>
        </w:rPr>
        <w:t xml:space="preserve"> et de </w:t>
      </w:r>
      <w:r w:rsidR="00D420BC">
        <w:rPr>
          <w:sz w:val="24"/>
        </w:rPr>
        <w:t xml:space="preserve">lui </w:t>
      </w:r>
      <w:r>
        <w:rPr>
          <w:sz w:val="24"/>
        </w:rPr>
        <w:t>r</w:t>
      </w:r>
      <w:r w:rsidR="00D420BC">
        <w:rPr>
          <w:sz w:val="24"/>
        </w:rPr>
        <w:t>endre compte des résultats</w:t>
      </w:r>
      <w:r>
        <w:rPr>
          <w:sz w:val="24"/>
        </w:rPr>
        <w:t xml:space="preserve">. </w:t>
      </w:r>
    </w:p>
    <w:p w14:paraId="3799561B" w14:textId="440F9AE6" w:rsidR="004C4146" w:rsidRDefault="004C4146" w:rsidP="004C4146">
      <w:pPr>
        <w:jc w:val="both"/>
        <w:rPr>
          <w:sz w:val="24"/>
        </w:rPr>
      </w:pPr>
      <w:r>
        <w:rPr>
          <w:sz w:val="24"/>
        </w:rPr>
        <w:t>Les groupes de travail suivant</w:t>
      </w:r>
      <w:r w:rsidR="00E82F87">
        <w:rPr>
          <w:sz w:val="24"/>
        </w:rPr>
        <w:t>s</w:t>
      </w:r>
      <w:r>
        <w:rPr>
          <w:sz w:val="24"/>
        </w:rPr>
        <w:t xml:space="preserve"> pourrai</w:t>
      </w:r>
      <w:r w:rsidR="00D420BC">
        <w:rPr>
          <w:sz w:val="24"/>
        </w:rPr>
        <w:t>en</w:t>
      </w:r>
      <w:r>
        <w:rPr>
          <w:sz w:val="24"/>
        </w:rPr>
        <w:t>t être mis en place</w:t>
      </w:r>
    </w:p>
    <w:p w14:paraId="5D71FCBD" w14:textId="77777777" w:rsidR="004C4146" w:rsidRDefault="004C4146" w:rsidP="00D5699E">
      <w:pPr>
        <w:pStyle w:val="Paragraphedeliste"/>
        <w:numPr>
          <w:ilvl w:val="0"/>
          <w:numId w:val="112"/>
        </w:numPr>
        <w:jc w:val="both"/>
        <w:rPr>
          <w:sz w:val="24"/>
        </w:rPr>
      </w:pPr>
      <w:r>
        <w:rPr>
          <w:sz w:val="24"/>
        </w:rPr>
        <w:t>Un groupe dédié à la mise en place des éléments relatifs au cadre législatif</w:t>
      </w:r>
    </w:p>
    <w:p w14:paraId="78F9BECA" w14:textId="4ED0A3CA" w:rsidR="004C4146" w:rsidRDefault="004C4146" w:rsidP="00D5699E">
      <w:pPr>
        <w:pStyle w:val="Paragraphedeliste"/>
        <w:numPr>
          <w:ilvl w:val="0"/>
          <w:numId w:val="112"/>
        </w:numPr>
        <w:jc w:val="both"/>
        <w:rPr>
          <w:sz w:val="24"/>
        </w:rPr>
      </w:pPr>
      <w:r>
        <w:rPr>
          <w:sz w:val="24"/>
        </w:rPr>
        <w:t xml:space="preserve">Un groupe dédié à la publication des données par les agences et ministères. Ce groupe </w:t>
      </w:r>
      <w:r w:rsidR="009A3406">
        <w:rPr>
          <w:sz w:val="24"/>
        </w:rPr>
        <w:t>accueillerai</w:t>
      </w:r>
      <w:r w:rsidR="001C35BA">
        <w:rPr>
          <w:sz w:val="24"/>
        </w:rPr>
        <w:t>t</w:t>
      </w:r>
      <w:r w:rsidR="009A3406">
        <w:rPr>
          <w:sz w:val="24"/>
        </w:rPr>
        <w:t xml:space="preserve"> de nouveaux participants</w:t>
      </w:r>
      <w:r>
        <w:rPr>
          <w:sz w:val="24"/>
        </w:rPr>
        <w:t xml:space="preserve"> au fur et à mesure de l’évolution de l’initiative et de l’intégration de nouvelles agences et ministères.</w:t>
      </w:r>
      <w:r w:rsidR="001C35BA">
        <w:rPr>
          <w:sz w:val="24"/>
        </w:rPr>
        <w:t xml:space="preserve"> L’objectif de ce groupe sera le</w:t>
      </w:r>
      <w:r w:rsidR="00D420BC">
        <w:rPr>
          <w:sz w:val="24"/>
        </w:rPr>
        <w:t xml:space="preserve"> partage d’expérience, la résolution de problèmes et le suivi du plan d’évaluation</w:t>
      </w:r>
      <w:r w:rsidR="009A3406">
        <w:rPr>
          <w:sz w:val="24"/>
        </w:rPr>
        <w:t>.</w:t>
      </w:r>
    </w:p>
    <w:p w14:paraId="67B46750" w14:textId="662D69A3" w:rsidR="00D420BC" w:rsidRDefault="00D420BC" w:rsidP="00D5699E">
      <w:pPr>
        <w:pStyle w:val="Paragraphedeliste"/>
        <w:numPr>
          <w:ilvl w:val="0"/>
          <w:numId w:val="112"/>
        </w:numPr>
        <w:jc w:val="both"/>
        <w:rPr>
          <w:sz w:val="24"/>
        </w:rPr>
      </w:pPr>
      <w:r>
        <w:rPr>
          <w:sz w:val="24"/>
        </w:rPr>
        <w:t xml:space="preserve">Un groupe technique dédié à la sélection d’une plateforme de portail de données qui serait recommandée pour toutes les structures souhaitant mettre en place leur propre portail. Ce groupe serait également en charge du choix des standards techniques. Il rassemblerait des représentants de l’ensemble des équipes </w:t>
      </w:r>
      <w:r w:rsidR="001C35BA">
        <w:rPr>
          <w:sz w:val="24"/>
        </w:rPr>
        <w:t>techniques ayant déjà participé</w:t>
      </w:r>
      <w:r>
        <w:rPr>
          <w:sz w:val="24"/>
        </w:rPr>
        <w:t xml:space="preserve"> à la mise en place d’un portail.</w:t>
      </w:r>
    </w:p>
    <w:p w14:paraId="79E2FF96" w14:textId="14DF1BB5" w:rsidR="00D420BC" w:rsidRDefault="00D420BC" w:rsidP="00D5699E">
      <w:pPr>
        <w:pStyle w:val="Paragraphedeliste"/>
        <w:numPr>
          <w:ilvl w:val="0"/>
          <w:numId w:val="112"/>
        </w:numPr>
        <w:jc w:val="both"/>
        <w:rPr>
          <w:sz w:val="24"/>
        </w:rPr>
      </w:pPr>
      <w:r>
        <w:rPr>
          <w:sz w:val="24"/>
        </w:rPr>
        <w:t>Un groupe en charge de la définition des métadonnées obligatoires pour les jeux de données. Ce groupe comprendrai</w:t>
      </w:r>
      <w:r w:rsidR="00E82F87">
        <w:rPr>
          <w:sz w:val="24"/>
        </w:rPr>
        <w:t>t</w:t>
      </w:r>
      <w:r>
        <w:rPr>
          <w:sz w:val="24"/>
        </w:rPr>
        <w:t xml:space="preserve"> au minimum les Archives Nationale</w:t>
      </w:r>
      <w:r w:rsidR="00787C42">
        <w:rPr>
          <w:sz w:val="24"/>
        </w:rPr>
        <w:t>s</w:t>
      </w:r>
      <w:r>
        <w:rPr>
          <w:sz w:val="24"/>
        </w:rPr>
        <w:t>, l’ANSI et l’INS</w:t>
      </w:r>
    </w:p>
    <w:p w14:paraId="0D06587C" w14:textId="035EEB18" w:rsidR="00965BC6" w:rsidRPr="00965BC6" w:rsidRDefault="00D420BC" w:rsidP="00D5699E">
      <w:pPr>
        <w:pStyle w:val="Paragraphedeliste"/>
        <w:numPr>
          <w:ilvl w:val="0"/>
          <w:numId w:val="112"/>
        </w:numPr>
        <w:jc w:val="both"/>
        <w:rPr>
          <w:sz w:val="24"/>
        </w:rPr>
      </w:pPr>
      <w:r>
        <w:rPr>
          <w:sz w:val="24"/>
        </w:rPr>
        <w:t xml:space="preserve">Un groupe en charge de </w:t>
      </w:r>
      <w:r w:rsidR="001C35BA">
        <w:rPr>
          <w:sz w:val="24"/>
        </w:rPr>
        <w:t xml:space="preserve">la </w:t>
      </w:r>
      <w:r>
        <w:rPr>
          <w:sz w:val="24"/>
        </w:rPr>
        <w:t>défini</w:t>
      </w:r>
      <w:r w:rsidR="001C35BA">
        <w:rPr>
          <w:sz w:val="24"/>
        </w:rPr>
        <w:t>tion des plans de communication</w:t>
      </w:r>
      <w:r>
        <w:rPr>
          <w:sz w:val="24"/>
        </w:rPr>
        <w:t xml:space="preserve"> et de sensibilisation ainsi que des plans de formation</w:t>
      </w:r>
    </w:p>
    <w:p w14:paraId="20194D50" w14:textId="48E848F3" w:rsidR="004C4146" w:rsidRDefault="00E82F87" w:rsidP="00D420BC">
      <w:pPr>
        <w:jc w:val="both"/>
        <w:rPr>
          <w:sz w:val="24"/>
        </w:rPr>
      </w:pPr>
      <w:r>
        <w:rPr>
          <w:sz w:val="24"/>
        </w:rPr>
        <w:t>Outre</w:t>
      </w:r>
      <w:r w:rsidR="00965BC6">
        <w:rPr>
          <w:sz w:val="24"/>
        </w:rPr>
        <w:t xml:space="preserve"> ces groupes de travail, le CoPil devrait lancer un ensemble d’activités spécifiques pour appuyer le développement de l’écosystème Open Data. </w:t>
      </w:r>
      <w:r w:rsidR="00535680">
        <w:rPr>
          <w:sz w:val="24"/>
        </w:rPr>
        <w:t>Cinq</w:t>
      </w:r>
      <w:r w:rsidR="00965BC6">
        <w:rPr>
          <w:sz w:val="24"/>
        </w:rPr>
        <w:t xml:space="preserve"> éléments particuliers ont été identifiés :</w:t>
      </w:r>
    </w:p>
    <w:p w14:paraId="34BEDEBE" w14:textId="15FFD0FA" w:rsidR="00965BC6" w:rsidRDefault="00965BC6" w:rsidP="00D5699E">
      <w:pPr>
        <w:pStyle w:val="Paragraphedeliste"/>
        <w:numPr>
          <w:ilvl w:val="0"/>
          <w:numId w:val="118"/>
        </w:numPr>
        <w:jc w:val="both"/>
        <w:rPr>
          <w:sz w:val="24"/>
        </w:rPr>
      </w:pPr>
      <w:r w:rsidRPr="0029293F">
        <w:rPr>
          <w:b/>
          <w:sz w:val="24"/>
        </w:rPr>
        <w:t>L’inventaire de données</w:t>
      </w:r>
      <w:r w:rsidR="00070851">
        <w:rPr>
          <w:sz w:val="24"/>
        </w:rPr>
        <w:t> :</w:t>
      </w:r>
      <w:r w:rsidR="00CD2EB5">
        <w:rPr>
          <w:sz w:val="24"/>
        </w:rPr>
        <w:t xml:space="preserve"> </w:t>
      </w:r>
      <w:r w:rsidR="002B413B">
        <w:rPr>
          <w:sz w:val="24"/>
        </w:rPr>
        <w:t>Un référencement complet</w:t>
      </w:r>
      <w:r w:rsidR="0029293F">
        <w:rPr>
          <w:sz w:val="24"/>
        </w:rPr>
        <w:t xml:space="preserve"> des jeux de données disponibles au niveau de chaque structure. Cet instrument est essentiel pour organiser la publication des jeux de données sous forme de données</w:t>
      </w:r>
      <w:r w:rsidR="001C35BA">
        <w:rPr>
          <w:sz w:val="24"/>
        </w:rPr>
        <w:t xml:space="preserve"> ouvertes, et pour prioritiser </w:t>
      </w:r>
      <w:r w:rsidR="0029293F">
        <w:rPr>
          <w:sz w:val="24"/>
        </w:rPr>
        <w:t>l</w:t>
      </w:r>
      <w:r w:rsidR="001C35BA">
        <w:rPr>
          <w:sz w:val="24"/>
        </w:rPr>
        <w:t>e</w:t>
      </w:r>
      <w:r w:rsidR="0029293F">
        <w:rPr>
          <w:sz w:val="24"/>
        </w:rPr>
        <w:t>s demande et les efforts. L’Annexe D propose une méthodologie pour le développement de l’inventaire.</w:t>
      </w:r>
    </w:p>
    <w:p w14:paraId="03FA70AC" w14:textId="77777777" w:rsidR="00F25F43" w:rsidRDefault="00F25F43" w:rsidP="00D5699E">
      <w:pPr>
        <w:pStyle w:val="Paragraphedeliste"/>
        <w:numPr>
          <w:ilvl w:val="0"/>
          <w:numId w:val="118"/>
        </w:numPr>
        <w:jc w:val="both"/>
        <w:rPr>
          <w:sz w:val="24"/>
        </w:rPr>
      </w:pPr>
      <w:r>
        <w:rPr>
          <w:b/>
          <w:sz w:val="24"/>
        </w:rPr>
        <w:t>Le référentiel de données commun</w:t>
      </w:r>
      <w:r>
        <w:rPr>
          <w:sz w:val="24"/>
        </w:rPr>
        <w:t xml:space="preserve"> : Le référentiel de données commun est un instrument essentiel pour faciliter le croisement de jeux de données (data mashup) et pour également limiter la duplication des collectes de données par différentes structures, et faciliter l’appareillement des données pour tous les acteurs. L’INS a déjà commencé le développement d’un tel référentiel qui pourra constituer un point de départ pour cette activité. La commission national de toponymie</w:t>
      </w:r>
      <w:r>
        <w:rPr>
          <w:rStyle w:val="Appelnotedebasdep"/>
          <w:sz w:val="24"/>
        </w:rPr>
        <w:footnoteReference w:id="122"/>
      </w:r>
      <w:r>
        <w:rPr>
          <w:sz w:val="24"/>
        </w:rPr>
        <w:t xml:space="preserve"> sera également impliqué dans la constitution du référentiel géographique.</w:t>
      </w:r>
    </w:p>
    <w:p w14:paraId="39C11DBF" w14:textId="77777777" w:rsidR="00F25F43" w:rsidRDefault="00F25F43" w:rsidP="00D5699E">
      <w:pPr>
        <w:pStyle w:val="Paragraphedeliste"/>
        <w:numPr>
          <w:ilvl w:val="0"/>
          <w:numId w:val="118"/>
        </w:numPr>
        <w:jc w:val="both"/>
        <w:rPr>
          <w:sz w:val="24"/>
        </w:rPr>
      </w:pPr>
      <w:r>
        <w:rPr>
          <w:b/>
          <w:sz w:val="24"/>
        </w:rPr>
        <w:t>Les cas d’usage internes</w:t>
      </w:r>
      <w:r>
        <w:rPr>
          <w:sz w:val="24"/>
        </w:rPr>
        <w:t xml:space="preserve"> : Afin de promouvoir la réutilisation de données entre les agences, il serait intéressant de développer une série d’exemples avec quelques agences ou structures sur le potentiel des données ouvertes pour aider ces structures. Ces exemples pourraient être issus de nombreux secteurs. Au vu des rencontres, plusieurs opportunités pourraient être explorées comme l’étude des violences faites aux femmes à partir des données criminelles, ou les opportunités d’investissement dans les jardins d’enfants ou les structures sportives en fonction des données du </w:t>
      </w:r>
      <w:r w:rsidRPr="00DA6790">
        <w:rPr>
          <w:sz w:val="24"/>
        </w:rPr>
        <w:t xml:space="preserve">Le Ministère de la Femme, de la Famille, de l’Enfance et </w:t>
      </w:r>
      <w:r>
        <w:rPr>
          <w:sz w:val="24"/>
        </w:rPr>
        <w:t xml:space="preserve">des </w:t>
      </w:r>
      <w:r w:rsidRPr="00DA6790">
        <w:rPr>
          <w:sz w:val="24"/>
        </w:rPr>
        <w:t>Personnes Âgées</w:t>
      </w:r>
      <w:r>
        <w:rPr>
          <w:sz w:val="24"/>
        </w:rPr>
        <w:t xml:space="preserve">. L’objectif sera de créer une dynamique interne de réutilisation et d’exploitation des données. </w:t>
      </w:r>
    </w:p>
    <w:p w14:paraId="409F091F" w14:textId="77777777" w:rsidR="00F25F43" w:rsidRDefault="00F25F43" w:rsidP="00D5699E">
      <w:pPr>
        <w:pStyle w:val="Paragraphedeliste"/>
        <w:numPr>
          <w:ilvl w:val="0"/>
          <w:numId w:val="118"/>
        </w:numPr>
        <w:jc w:val="both"/>
        <w:rPr>
          <w:sz w:val="24"/>
        </w:rPr>
      </w:pPr>
      <w:r>
        <w:rPr>
          <w:b/>
          <w:sz w:val="24"/>
        </w:rPr>
        <w:t>Un manuel de procédures </w:t>
      </w:r>
      <w:r>
        <w:rPr>
          <w:sz w:val="24"/>
        </w:rPr>
        <w:t>: afin d’aider dans leur tâche les chargés d’Open Data, il serait intéressant de développer un manuel de procédures pour l’ouverture des données qui fournirait un ensemble de guides pour la publication et l’inventaire. Plusieurs types de guides existent déjà et pourront servir de références</w:t>
      </w:r>
      <w:r>
        <w:rPr>
          <w:rStyle w:val="Appelnotedebasdep"/>
          <w:sz w:val="24"/>
        </w:rPr>
        <w:footnoteReference w:id="123"/>
      </w:r>
      <w:r>
        <w:rPr>
          <w:sz w:val="24"/>
        </w:rPr>
        <w:t xml:space="preserve"> pour le développement de ce manuel, après une analyse fine des besoins.</w:t>
      </w:r>
    </w:p>
    <w:p w14:paraId="73BFDB72" w14:textId="416EF75C" w:rsidR="00965BC6" w:rsidRPr="00965BC6" w:rsidRDefault="00965BC6" w:rsidP="00D5699E">
      <w:pPr>
        <w:pStyle w:val="Paragraphedeliste"/>
        <w:numPr>
          <w:ilvl w:val="0"/>
          <w:numId w:val="118"/>
        </w:numPr>
        <w:jc w:val="both"/>
        <w:rPr>
          <w:sz w:val="24"/>
        </w:rPr>
      </w:pPr>
      <w:r w:rsidRPr="00535680">
        <w:rPr>
          <w:b/>
          <w:sz w:val="24"/>
        </w:rPr>
        <w:t>Une équipe technique d’appui</w:t>
      </w:r>
      <w:r>
        <w:rPr>
          <w:sz w:val="24"/>
        </w:rPr>
        <w:t>:</w:t>
      </w:r>
      <w:r w:rsidR="00535680">
        <w:rPr>
          <w:sz w:val="24"/>
        </w:rPr>
        <w:t xml:space="preserve"> </w:t>
      </w:r>
      <w:r w:rsidR="002B413B">
        <w:rPr>
          <w:sz w:val="24"/>
        </w:rPr>
        <w:t>Lors des rencontres</w:t>
      </w:r>
      <w:r w:rsidR="00535680">
        <w:rPr>
          <w:sz w:val="24"/>
        </w:rPr>
        <w:t xml:space="preserve"> de la mission, il est clairement apparu que la plupart des structures, si elles ont la volonté de publier des données ouvertes, manque</w:t>
      </w:r>
      <w:r w:rsidR="00E82F87">
        <w:rPr>
          <w:sz w:val="24"/>
        </w:rPr>
        <w:t>nt</w:t>
      </w:r>
      <w:r w:rsidR="00535680">
        <w:rPr>
          <w:sz w:val="24"/>
        </w:rPr>
        <w:t xml:space="preserve"> de capacité</w:t>
      </w:r>
      <w:r w:rsidR="00E82F87">
        <w:rPr>
          <w:sz w:val="24"/>
        </w:rPr>
        <w:t>s</w:t>
      </w:r>
      <w:r w:rsidR="00535680">
        <w:rPr>
          <w:sz w:val="24"/>
        </w:rPr>
        <w:t xml:space="preserve"> technique</w:t>
      </w:r>
      <w:r w:rsidR="00E82F87">
        <w:rPr>
          <w:sz w:val="24"/>
        </w:rPr>
        <w:t>s</w:t>
      </w:r>
      <w:r w:rsidR="00535680">
        <w:rPr>
          <w:sz w:val="24"/>
        </w:rPr>
        <w:t xml:space="preserve"> pour le faire. Elle</w:t>
      </w:r>
      <w:r w:rsidR="00E82F87">
        <w:rPr>
          <w:sz w:val="24"/>
        </w:rPr>
        <w:t>s</w:t>
      </w:r>
      <w:r w:rsidR="00535680">
        <w:rPr>
          <w:sz w:val="24"/>
        </w:rPr>
        <w:t xml:space="preserve"> manque</w:t>
      </w:r>
      <w:r w:rsidR="00E82F87">
        <w:rPr>
          <w:sz w:val="24"/>
        </w:rPr>
        <w:t>nt</w:t>
      </w:r>
      <w:r w:rsidR="00535680">
        <w:rPr>
          <w:sz w:val="24"/>
        </w:rPr>
        <w:t xml:space="preserve"> également de capacité</w:t>
      </w:r>
      <w:r w:rsidR="00E82F87">
        <w:rPr>
          <w:sz w:val="24"/>
        </w:rPr>
        <w:t>s</w:t>
      </w:r>
      <w:r w:rsidR="00535680">
        <w:rPr>
          <w:sz w:val="24"/>
        </w:rPr>
        <w:t xml:space="preserve"> technique</w:t>
      </w:r>
      <w:r w:rsidR="00E82F87">
        <w:rPr>
          <w:sz w:val="24"/>
        </w:rPr>
        <w:t>s</w:t>
      </w:r>
      <w:r w:rsidR="00535680">
        <w:rPr>
          <w:sz w:val="24"/>
        </w:rPr>
        <w:t xml:space="preserve"> pour automatiser la publication, voire pour exploiter les données qu’elles ont (visualisation). Il serait utile de mettre sur pied une équipe technique à même d’appuyer pendant un temps limité une structure qui s’engagerait dans l’initiative d’ouverture des données. Cette équipe apporterait l’expertise nécessaire pour le démarrage et favoriserait l’intégration des différents ministères au fur et à mesure du développement de l’initiative</w:t>
      </w:r>
    </w:p>
    <w:p w14:paraId="616B2F3F" w14:textId="1BFED72D" w:rsidR="00070851" w:rsidRDefault="004C4146" w:rsidP="00535680">
      <w:pPr>
        <w:jc w:val="both"/>
        <w:rPr>
          <w:sz w:val="24"/>
        </w:rPr>
      </w:pPr>
      <w:r>
        <w:rPr>
          <w:sz w:val="24"/>
        </w:rPr>
        <w:t xml:space="preserve">Concernant les acteurs non-étatiques, </w:t>
      </w:r>
      <w:r w:rsidR="00535680">
        <w:rPr>
          <w:sz w:val="24"/>
        </w:rPr>
        <w:t xml:space="preserve">la première étape serait de mettre en place </w:t>
      </w:r>
      <w:r w:rsidR="00535680" w:rsidRPr="00535680">
        <w:rPr>
          <w:sz w:val="24"/>
        </w:rPr>
        <w:t>u</w:t>
      </w:r>
      <w:r w:rsidR="00070851" w:rsidRPr="00535680">
        <w:rPr>
          <w:sz w:val="24"/>
        </w:rPr>
        <w:t>n comité mixte avec les acteurs non-gouvernementaux </w:t>
      </w:r>
      <w:r w:rsidR="00F83134">
        <w:rPr>
          <w:sz w:val="24"/>
        </w:rPr>
        <w:t xml:space="preserve">et </w:t>
      </w:r>
      <w:r w:rsidR="002B413B">
        <w:rPr>
          <w:sz w:val="24"/>
        </w:rPr>
        <w:t>les acteurs publics</w:t>
      </w:r>
      <w:r w:rsidR="00F83134">
        <w:rPr>
          <w:sz w:val="24"/>
        </w:rPr>
        <w:t xml:space="preserve">. </w:t>
      </w:r>
      <w:r w:rsidR="00070851">
        <w:rPr>
          <w:sz w:val="24"/>
        </w:rPr>
        <w:t>Ce comité serait composé de représentant</w:t>
      </w:r>
      <w:r w:rsidR="00F83134">
        <w:rPr>
          <w:sz w:val="24"/>
        </w:rPr>
        <w:t>s</w:t>
      </w:r>
      <w:r w:rsidR="00070851">
        <w:rPr>
          <w:sz w:val="24"/>
        </w:rPr>
        <w:t xml:space="preserve"> du CoPil ainsi que des représentants de différents groupes d’acteurs non-gouvernementaux : média, chercheurs, société civile et secteur privé des TIC et de l’innovation. Le rôle de ce comité sera d’une part de servir d’interface pour tous les acteurs non-gouvernementaux et d’autre part de suivre l’évolution de l’écosystème et d’identifier les</w:t>
      </w:r>
      <w:r w:rsidR="00E325A4">
        <w:rPr>
          <w:sz w:val="24"/>
        </w:rPr>
        <w:t xml:space="preserve"> interventions à implémenter soi</w:t>
      </w:r>
      <w:r w:rsidR="00070851">
        <w:rPr>
          <w:sz w:val="24"/>
        </w:rPr>
        <w:t>t auprès des acteurs gouvernementaux (recommandations au CoPil) soit auprès des acteurs non-gouvernementaux. Ce comité réceptionnera également les demandes de publication et leur suivi, et participera à la priorisation des publications.</w:t>
      </w:r>
      <w:r w:rsidR="00F83134">
        <w:rPr>
          <w:sz w:val="24"/>
        </w:rPr>
        <w:t xml:space="preserve"> Dans un premier temps, ce comité devrait organiser le développement de cas d’usages de réutilisation. L’objectif serait de créer une dynamique autour de la réutilisation de </w:t>
      </w:r>
      <w:r w:rsidR="009352D9">
        <w:rPr>
          <w:sz w:val="24"/>
        </w:rPr>
        <w:t>données gouvern</w:t>
      </w:r>
      <w:r w:rsidR="006F0308">
        <w:rPr>
          <w:sz w:val="24"/>
        </w:rPr>
        <w:t>e</w:t>
      </w:r>
      <w:r w:rsidR="009352D9">
        <w:rPr>
          <w:sz w:val="24"/>
        </w:rPr>
        <w:t>mentales</w:t>
      </w:r>
      <w:r w:rsidR="006F0308">
        <w:rPr>
          <w:sz w:val="24"/>
        </w:rPr>
        <w:t xml:space="preserve"> </w:t>
      </w:r>
      <w:r w:rsidR="00F83134">
        <w:rPr>
          <w:sz w:val="24"/>
        </w:rPr>
        <w:t>au travers de l’organisation de hackathon</w:t>
      </w:r>
      <w:r w:rsidR="00DF1215">
        <w:rPr>
          <w:sz w:val="24"/>
        </w:rPr>
        <w:t>s</w:t>
      </w:r>
      <w:r w:rsidR="00F83134">
        <w:rPr>
          <w:sz w:val="24"/>
        </w:rPr>
        <w:t xml:space="preserve"> spécifiques. Ces hackathons aurai</w:t>
      </w:r>
      <w:r w:rsidR="002B413B">
        <w:rPr>
          <w:sz w:val="24"/>
        </w:rPr>
        <w:t>en</w:t>
      </w:r>
      <w:r w:rsidR="00F83134">
        <w:rPr>
          <w:sz w:val="24"/>
        </w:rPr>
        <w:t>t une phase amont importante dans laquelle</w:t>
      </w:r>
      <w:r w:rsidR="00E325A4">
        <w:rPr>
          <w:sz w:val="24"/>
        </w:rPr>
        <w:t xml:space="preserve"> les acteurs d’un secteur donné</w:t>
      </w:r>
      <w:r w:rsidR="00F83134">
        <w:rPr>
          <w:sz w:val="24"/>
        </w:rPr>
        <w:t xml:space="preserve"> serai</w:t>
      </w:r>
      <w:r w:rsidR="002B413B">
        <w:rPr>
          <w:sz w:val="24"/>
        </w:rPr>
        <w:t>en</w:t>
      </w:r>
      <w:r w:rsidR="00F83134">
        <w:rPr>
          <w:sz w:val="24"/>
        </w:rPr>
        <w:t>t réunis pour identifier des thèmes spécifiq</w:t>
      </w:r>
      <w:r w:rsidR="00E325A4">
        <w:rPr>
          <w:sz w:val="24"/>
        </w:rPr>
        <w:t>ues et les données à publier pa</w:t>
      </w:r>
      <w:r w:rsidR="00F83134">
        <w:rPr>
          <w:sz w:val="24"/>
        </w:rPr>
        <w:t>r différentes agences. Puis l’événement lui-même permettrait d’une part de fournir un retour sur les données publiées, d’autre part de montrer les applications innovantes possible de ces données, créant une dynamique au sein des agences les publiant.</w:t>
      </w:r>
    </w:p>
    <w:p w14:paraId="170AEA6D" w14:textId="77777777" w:rsidR="004E3B4A" w:rsidRPr="00A120F6" w:rsidRDefault="00F83134" w:rsidP="004E3B4A">
      <w:pPr>
        <w:jc w:val="both"/>
        <w:rPr>
          <w:sz w:val="24"/>
        </w:rPr>
      </w:pPr>
      <w:r>
        <w:rPr>
          <w:sz w:val="24"/>
        </w:rPr>
        <w:t xml:space="preserve">Dans </w:t>
      </w:r>
      <w:r w:rsidR="002B413B">
        <w:rPr>
          <w:sz w:val="24"/>
        </w:rPr>
        <w:t>le plus long terme</w:t>
      </w:r>
      <w:r>
        <w:rPr>
          <w:sz w:val="24"/>
        </w:rPr>
        <w:t>, il conviendra de travailler à l’intégration de cursus sur l’Open Data à la fois dans les écoles destinées aux cadres de la fonction publique comme l’ENA et dans les filières techniques comme celles de l’INSAT. Il sera également opportun de réfléchir à la mise en place d</w:t>
      </w:r>
      <w:r w:rsidR="00E325A4">
        <w:rPr>
          <w:sz w:val="24"/>
        </w:rPr>
        <w:t>’une structure pérenne</w:t>
      </w:r>
      <w:r>
        <w:rPr>
          <w:sz w:val="24"/>
        </w:rPr>
        <w:t xml:space="preserve"> sur le modèle de</w:t>
      </w:r>
      <w:r w:rsidR="00E325A4">
        <w:rPr>
          <w:sz w:val="24"/>
        </w:rPr>
        <w:t>s l</w:t>
      </w:r>
      <w:r>
        <w:rPr>
          <w:sz w:val="24"/>
        </w:rPr>
        <w:t>aboratoire</w:t>
      </w:r>
      <w:r w:rsidR="00E325A4">
        <w:rPr>
          <w:sz w:val="24"/>
        </w:rPr>
        <w:t>s</w:t>
      </w:r>
      <w:r>
        <w:rPr>
          <w:sz w:val="24"/>
        </w:rPr>
        <w:t xml:space="preserve"> d’innovation Open Data comme ceux mis en place en Tanzanie</w:t>
      </w:r>
      <w:r>
        <w:rPr>
          <w:rStyle w:val="Appelnotedebasdep"/>
          <w:sz w:val="24"/>
        </w:rPr>
        <w:footnoteReference w:id="124"/>
      </w:r>
      <w:r>
        <w:rPr>
          <w:sz w:val="24"/>
        </w:rPr>
        <w:t xml:space="preserve"> ou en Indonésie</w:t>
      </w:r>
      <w:r>
        <w:rPr>
          <w:rStyle w:val="Appelnotedebasdep"/>
          <w:sz w:val="24"/>
        </w:rPr>
        <w:footnoteReference w:id="125"/>
      </w:r>
      <w:r>
        <w:rPr>
          <w:sz w:val="24"/>
        </w:rPr>
        <w:t xml:space="preserve"> qui apporte</w:t>
      </w:r>
      <w:r w:rsidR="00E325A4">
        <w:rPr>
          <w:sz w:val="24"/>
        </w:rPr>
        <w:t>nt</w:t>
      </w:r>
      <w:r>
        <w:rPr>
          <w:sz w:val="24"/>
        </w:rPr>
        <w:t xml:space="preserve"> </w:t>
      </w:r>
      <w:r w:rsidR="00E325A4">
        <w:rPr>
          <w:sz w:val="24"/>
        </w:rPr>
        <w:t>un appui</w:t>
      </w:r>
      <w:r>
        <w:rPr>
          <w:sz w:val="24"/>
        </w:rPr>
        <w:t xml:space="preserve"> à la fois a</w:t>
      </w:r>
      <w:r w:rsidR="00E325A4">
        <w:rPr>
          <w:sz w:val="24"/>
        </w:rPr>
        <w:t>ux structures publiques ainsi qu’à</w:t>
      </w:r>
      <w:r>
        <w:rPr>
          <w:sz w:val="24"/>
        </w:rPr>
        <w:t xml:space="preserve"> tous les acteurs non-gouvernementaux.</w:t>
      </w:r>
      <w:r w:rsidR="004E3B4A">
        <w:rPr>
          <w:sz w:val="24"/>
        </w:rPr>
        <w:t xml:space="preserve"> Cette structure pérenne pourrait également prendre la forme d’une structure gouvernementale sur le modèle de l’Etalab</w:t>
      </w:r>
      <w:r w:rsidR="004E3B4A">
        <w:rPr>
          <w:rStyle w:val="Appelnotedebasdep"/>
          <w:sz w:val="24"/>
        </w:rPr>
        <w:footnoteReference w:id="126"/>
      </w:r>
      <w:r w:rsidR="004E3B4A">
        <w:rPr>
          <w:sz w:val="24"/>
        </w:rPr>
        <w:t xml:space="preserve"> en France.</w:t>
      </w:r>
    </w:p>
    <w:p w14:paraId="6D4174E2" w14:textId="65AD3E11" w:rsidR="00F83134" w:rsidRPr="00A120F6" w:rsidRDefault="00F83134" w:rsidP="00535680">
      <w:pPr>
        <w:jc w:val="both"/>
        <w:rPr>
          <w:sz w:val="24"/>
        </w:rPr>
      </w:pPr>
    </w:p>
    <w:p w14:paraId="5A9E1CB0" w14:textId="132AEF71" w:rsidR="004C4146" w:rsidRDefault="004C4146" w:rsidP="004C4146">
      <w:pPr>
        <w:jc w:val="both"/>
        <w:rPr>
          <w:sz w:val="24"/>
        </w:rPr>
      </w:pPr>
      <w:r>
        <w:rPr>
          <w:sz w:val="24"/>
        </w:rPr>
        <w:t xml:space="preserve">En dehors de ces points, il conviendra de considérer avec attention l’aspect financement de l’initiative et de s’assurer qu’un ensemble de partenaires de la </w:t>
      </w:r>
      <w:r w:rsidR="00F83134">
        <w:rPr>
          <w:sz w:val="24"/>
        </w:rPr>
        <w:t>Tunisie</w:t>
      </w:r>
      <w:r>
        <w:rPr>
          <w:sz w:val="24"/>
        </w:rPr>
        <w:t xml:space="preserve"> sont prêts à s’engager dans le financement de toute la phase de mise en place de l’initiative. </w:t>
      </w:r>
    </w:p>
    <w:p w14:paraId="5B4B2D00" w14:textId="492CA348" w:rsidR="00070851" w:rsidRDefault="00F83134" w:rsidP="00070851">
      <w:pPr>
        <w:jc w:val="both"/>
        <w:rPr>
          <w:sz w:val="24"/>
        </w:rPr>
      </w:pPr>
      <w:r>
        <w:rPr>
          <w:sz w:val="24"/>
        </w:rPr>
        <w:t xml:space="preserve">En termes de calendrier, </w:t>
      </w:r>
      <w:r w:rsidR="002B413B">
        <w:rPr>
          <w:sz w:val="24"/>
        </w:rPr>
        <w:t>une grande partie</w:t>
      </w:r>
      <w:r>
        <w:rPr>
          <w:sz w:val="24"/>
        </w:rPr>
        <w:t xml:space="preserve"> des activités pourrait être lanc</w:t>
      </w:r>
      <w:r w:rsidR="00E325A4">
        <w:rPr>
          <w:sz w:val="24"/>
        </w:rPr>
        <w:t>ée à très court terme avec les m</w:t>
      </w:r>
      <w:r>
        <w:rPr>
          <w:sz w:val="24"/>
        </w:rPr>
        <w:t xml:space="preserve">inistères précurseurs déjà identifiés (MIF, </w:t>
      </w:r>
      <w:r w:rsidR="005074FC">
        <w:rPr>
          <w:sz w:val="24"/>
        </w:rPr>
        <w:t xml:space="preserve">MIP, </w:t>
      </w:r>
      <w:r>
        <w:rPr>
          <w:sz w:val="24"/>
        </w:rPr>
        <w:t>MINT, MIC, MEMER, MALE, MIT) puis graduellement intégrer au cours du temps les autres secteurs.</w:t>
      </w:r>
    </w:p>
    <w:p w14:paraId="7E826473" w14:textId="6B846255" w:rsidR="00070851" w:rsidRDefault="00070851">
      <w:pPr>
        <w:rPr>
          <w:sz w:val="24"/>
        </w:rPr>
      </w:pPr>
      <w:r>
        <w:rPr>
          <w:sz w:val="24"/>
        </w:rPr>
        <w:br w:type="page"/>
      </w:r>
    </w:p>
    <w:p w14:paraId="50BD53C9" w14:textId="77777777" w:rsidR="004C4146" w:rsidRDefault="004C4146" w:rsidP="004C4146">
      <w:pPr>
        <w:rPr>
          <w:sz w:val="24"/>
        </w:rPr>
      </w:pPr>
    </w:p>
    <w:p w14:paraId="6B5479E0" w14:textId="77777777" w:rsidR="004C4146" w:rsidRDefault="004C4146" w:rsidP="004C4146">
      <w:pPr>
        <w:pStyle w:val="Titre1"/>
        <w:jc w:val="both"/>
        <w:rPr>
          <w:rFonts w:asciiTheme="minorHAnsi" w:hAnsiTheme="minorHAnsi"/>
        </w:rPr>
      </w:pPr>
      <w:bookmarkStart w:id="36" w:name="_Toc459307846"/>
      <w:bookmarkStart w:id="37" w:name="_Toc496544787"/>
      <w:r>
        <w:rPr>
          <w:rFonts w:asciiTheme="minorHAnsi" w:hAnsiTheme="minorHAnsi"/>
        </w:rPr>
        <w:t>Plan d’Actions</w:t>
      </w:r>
      <w:bookmarkEnd w:id="36"/>
      <w:bookmarkEnd w:id="37"/>
    </w:p>
    <w:p w14:paraId="22D46802" w14:textId="77777777" w:rsidR="004C4146" w:rsidRDefault="004C4146" w:rsidP="004C4146">
      <w:pPr>
        <w:pStyle w:val="Titre2"/>
        <w:spacing w:after="240"/>
      </w:pPr>
      <w:bookmarkStart w:id="38" w:name="_Toc459307847"/>
      <w:bookmarkStart w:id="39" w:name="_Toc496544788"/>
      <w:r>
        <w:t>Description</w:t>
      </w:r>
      <w:bookmarkEnd w:id="38"/>
      <w:bookmarkEnd w:id="39"/>
    </w:p>
    <w:p w14:paraId="49A6E247" w14:textId="77777777" w:rsidR="004C4146" w:rsidRDefault="004C4146" w:rsidP="004C4146">
      <w:pPr>
        <w:pStyle w:val="Sous-titre"/>
        <w:spacing w:before="0" w:after="0"/>
        <w:rPr>
          <w:b/>
          <w:u w:val="single"/>
          <w:lang w:val="fr-FR"/>
        </w:rPr>
      </w:pPr>
      <w:r>
        <w:rPr>
          <w:b/>
          <w:u w:val="single"/>
          <w:lang w:val="fr-FR"/>
        </w:rPr>
        <w:t>Actions a court terme</w:t>
      </w:r>
    </w:p>
    <w:p w14:paraId="2243978F" w14:textId="03FA8640" w:rsidR="004C4146" w:rsidRDefault="004C4146" w:rsidP="004C4146">
      <w:pPr>
        <w:jc w:val="both"/>
        <w:rPr>
          <w:sz w:val="24"/>
          <w:szCs w:val="24"/>
        </w:rPr>
      </w:pPr>
      <w:r>
        <w:rPr>
          <w:sz w:val="24"/>
          <w:szCs w:val="24"/>
        </w:rPr>
        <w:t>Cette section énumère les actions qui pourraient être lancées dans les 6 à 12 premier</w:t>
      </w:r>
      <w:r w:rsidR="00562011">
        <w:rPr>
          <w:sz w:val="24"/>
          <w:szCs w:val="24"/>
        </w:rPr>
        <w:t>s</w:t>
      </w:r>
      <w:r>
        <w:rPr>
          <w:sz w:val="24"/>
          <w:szCs w:val="24"/>
        </w:rPr>
        <w:t xml:space="preserve"> mois de l’initiative, sans condition préalable.</w:t>
      </w:r>
    </w:p>
    <w:p w14:paraId="161A13A8" w14:textId="77777777" w:rsidR="004C4146" w:rsidRDefault="004C4146" w:rsidP="004C4146">
      <w:pPr>
        <w:pStyle w:val="Sous-titre"/>
        <w:spacing w:before="0" w:after="0"/>
        <w:rPr>
          <w:lang w:val="fr-FR"/>
        </w:rPr>
      </w:pPr>
      <w:r>
        <w:rPr>
          <w:lang w:val="fr-FR"/>
        </w:rPr>
        <w:t>LEADERSHIP</w:t>
      </w:r>
    </w:p>
    <w:p w14:paraId="0170CB2F" w14:textId="77777777" w:rsidR="004C4146" w:rsidRDefault="004C4146" w:rsidP="004C4146">
      <w:pPr>
        <w:spacing w:after="0"/>
      </w:pPr>
    </w:p>
    <w:p w14:paraId="07D3A47A" w14:textId="14241FF8" w:rsidR="00DE6E52" w:rsidRDefault="00DE6E52" w:rsidP="00D5699E">
      <w:pPr>
        <w:pStyle w:val="Paragraphedeliste"/>
        <w:numPr>
          <w:ilvl w:val="0"/>
          <w:numId w:val="114"/>
        </w:numPr>
        <w:jc w:val="both"/>
        <w:rPr>
          <w:b/>
          <w:sz w:val="24"/>
          <w:szCs w:val="24"/>
        </w:rPr>
      </w:pPr>
      <w:r>
        <w:rPr>
          <w:b/>
          <w:sz w:val="24"/>
          <w:szCs w:val="24"/>
        </w:rPr>
        <w:t>Déclaration publique du Président de la République</w:t>
      </w:r>
      <w:r w:rsidR="00834F9E">
        <w:rPr>
          <w:b/>
          <w:sz w:val="24"/>
          <w:szCs w:val="24"/>
        </w:rPr>
        <w:t xml:space="preserve"> ou du Chef du Gouvernement</w:t>
      </w:r>
      <w:r>
        <w:rPr>
          <w:b/>
          <w:sz w:val="24"/>
          <w:szCs w:val="24"/>
        </w:rPr>
        <w:t xml:space="preserve"> lançant l’initiative </w:t>
      </w:r>
    </w:p>
    <w:p w14:paraId="5D59A393" w14:textId="59D956BE" w:rsidR="00DE6E52" w:rsidRDefault="00DE6E52" w:rsidP="00D5699E">
      <w:pPr>
        <w:pStyle w:val="Paragraphedeliste"/>
        <w:numPr>
          <w:ilvl w:val="1"/>
          <w:numId w:val="114"/>
        </w:numPr>
        <w:jc w:val="both"/>
        <w:rPr>
          <w:sz w:val="24"/>
          <w:szCs w:val="24"/>
        </w:rPr>
      </w:pPr>
      <w:r>
        <w:rPr>
          <w:sz w:val="24"/>
          <w:szCs w:val="24"/>
        </w:rPr>
        <w:t>Responsabilité</w:t>
      </w:r>
      <w:r w:rsidR="00FA5446">
        <w:rPr>
          <w:sz w:val="24"/>
          <w:szCs w:val="24"/>
        </w:rPr>
        <w:t xml:space="preserve"> </w:t>
      </w:r>
      <w:r>
        <w:rPr>
          <w:sz w:val="24"/>
          <w:szCs w:val="24"/>
        </w:rPr>
        <w:t>: L</w:t>
      </w:r>
      <w:r w:rsidR="00834F9E">
        <w:rPr>
          <w:sz w:val="24"/>
          <w:szCs w:val="24"/>
        </w:rPr>
        <w:t>a Présidence du Gouvernement + UAE</w:t>
      </w:r>
    </w:p>
    <w:p w14:paraId="52E534A3" w14:textId="77777777" w:rsidR="00DE6E52" w:rsidRDefault="00DE6E52" w:rsidP="00D5699E">
      <w:pPr>
        <w:pStyle w:val="Paragraphedeliste"/>
        <w:numPr>
          <w:ilvl w:val="1"/>
          <w:numId w:val="114"/>
        </w:numPr>
        <w:jc w:val="both"/>
        <w:rPr>
          <w:sz w:val="24"/>
          <w:szCs w:val="24"/>
        </w:rPr>
      </w:pPr>
      <w:r>
        <w:rPr>
          <w:sz w:val="24"/>
          <w:szCs w:val="24"/>
        </w:rPr>
        <w:t>Temps requis : 1-2 mois</w:t>
      </w:r>
    </w:p>
    <w:p w14:paraId="3E21432E" w14:textId="22401C9D" w:rsidR="00DE6E52" w:rsidRDefault="00DE6E52" w:rsidP="00D5699E">
      <w:pPr>
        <w:pStyle w:val="Paragraphedeliste"/>
        <w:numPr>
          <w:ilvl w:val="1"/>
          <w:numId w:val="114"/>
        </w:numPr>
        <w:jc w:val="both"/>
        <w:rPr>
          <w:sz w:val="24"/>
          <w:szCs w:val="24"/>
        </w:rPr>
      </w:pPr>
      <w:r>
        <w:rPr>
          <w:sz w:val="24"/>
          <w:szCs w:val="24"/>
        </w:rPr>
        <w:t>Co</w:t>
      </w:r>
      <w:r w:rsidR="004777B0">
        <w:rPr>
          <w:sz w:val="24"/>
          <w:szCs w:val="24"/>
        </w:rPr>
        <w:t>û</w:t>
      </w:r>
      <w:r>
        <w:rPr>
          <w:sz w:val="24"/>
          <w:szCs w:val="24"/>
        </w:rPr>
        <w:t>t</w:t>
      </w:r>
      <w:r w:rsidR="00FA5446">
        <w:rPr>
          <w:sz w:val="24"/>
          <w:szCs w:val="24"/>
        </w:rPr>
        <w:t xml:space="preserve"> </w:t>
      </w:r>
      <w:r>
        <w:rPr>
          <w:sz w:val="24"/>
          <w:szCs w:val="24"/>
        </w:rPr>
        <w:t>: NA</w:t>
      </w:r>
    </w:p>
    <w:p w14:paraId="1D1B201E" w14:textId="77777777" w:rsidR="00DE6E52" w:rsidRDefault="00DE6E52" w:rsidP="00D5699E">
      <w:pPr>
        <w:pStyle w:val="Paragraphedeliste"/>
        <w:numPr>
          <w:ilvl w:val="1"/>
          <w:numId w:val="114"/>
        </w:numPr>
        <w:jc w:val="both"/>
        <w:rPr>
          <w:sz w:val="24"/>
          <w:szCs w:val="24"/>
        </w:rPr>
      </w:pPr>
      <w:r>
        <w:rPr>
          <w:sz w:val="24"/>
          <w:szCs w:val="24"/>
        </w:rPr>
        <w:t>Références</w:t>
      </w:r>
    </w:p>
    <w:p w14:paraId="34ABE1A9" w14:textId="77777777" w:rsidR="00DE6E52" w:rsidRDefault="00DE6E52" w:rsidP="00D5699E">
      <w:pPr>
        <w:pStyle w:val="Paragraphedeliste"/>
        <w:numPr>
          <w:ilvl w:val="2"/>
          <w:numId w:val="114"/>
        </w:numPr>
        <w:jc w:val="both"/>
        <w:rPr>
          <w:sz w:val="24"/>
          <w:szCs w:val="24"/>
        </w:rPr>
      </w:pPr>
      <w:r>
        <w:rPr>
          <w:sz w:val="24"/>
          <w:szCs w:val="24"/>
        </w:rPr>
        <w:t xml:space="preserve">Description du contenu des déclarations sur l’Open data </w:t>
      </w:r>
      <w:r>
        <w:rPr>
          <w:rStyle w:val="Appelnotedebasdep"/>
          <w:sz w:val="24"/>
          <w:szCs w:val="24"/>
        </w:rPr>
        <w:footnoteReference w:id="127"/>
      </w:r>
    </w:p>
    <w:p w14:paraId="40FCE42A" w14:textId="77777777" w:rsidR="00DE6E52" w:rsidRDefault="00DE6E52" w:rsidP="00D5699E">
      <w:pPr>
        <w:pStyle w:val="Paragraphedeliste"/>
        <w:numPr>
          <w:ilvl w:val="2"/>
          <w:numId w:val="114"/>
        </w:numPr>
        <w:jc w:val="both"/>
        <w:rPr>
          <w:sz w:val="24"/>
          <w:szCs w:val="24"/>
        </w:rPr>
      </w:pPr>
      <w:r>
        <w:rPr>
          <w:sz w:val="24"/>
          <w:szCs w:val="24"/>
        </w:rPr>
        <w:t>Déclarations similaires</w:t>
      </w:r>
      <w:r>
        <w:rPr>
          <w:rStyle w:val="Appelnotedebasdep"/>
          <w:sz w:val="24"/>
          <w:szCs w:val="24"/>
        </w:rPr>
        <w:footnoteReference w:id="128"/>
      </w:r>
    </w:p>
    <w:p w14:paraId="5F2F718F" w14:textId="163EEFC0" w:rsidR="004C4146" w:rsidRDefault="004C4146" w:rsidP="00D5699E">
      <w:pPr>
        <w:pStyle w:val="Paragraphedeliste"/>
        <w:numPr>
          <w:ilvl w:val="0"/>
          <w:numId w:val="114"/>
        </w:numPr>
        <w:jc w:val="both"/>
        <w:rPr>
          <w:sz w:val="24"/>
          <w:szCs w:val="24"/>
        </w:rPr>
      </w:pPr>
      <w:r>
        <w:rPr>
          <w:b/>
          <w:sz w:val="24"/>
          <w:szCs w:val="24"/>
        </w:rPr>
        <w:t>Mise en place d’un comité de pilotage pour l’initiative Open Data (C</w:t>
      </w:r>
      <w:r w:rsidR="00834F9E">
        <w:rPr>
          <w:b/>
          <w:sz w:val="24"/>
          <w:szCs w:val="24"/>
        </w:rPr>
        <w:t>o</w:t>
      </w:r>
      <w:r>
        <w:rPr>
          <w:b/>
          <w:sz w:val="24"/>
          <w:szCs w:val="24"/>
        </w:rPr>
        <w:t>P</w:t>
      </w:r>
      <w:r w:rsidR="00834F9E">
        <w:rPr>
          <w:b/>
          <w:sz w:val="24"/>
          <w:szCs w:val="24"/>
        </w:rPr>
        <w:t>il</w:t>
      </w:r>
      <w:r>
        <w:rPr>
          <w:b/>
          <w:sz w:val="24"/>
          <w:szCs w:val="24"/>
        </w:rPr>
        <w:t>)</w:t>
      </w:r>
      <w:r>
        <w:rPr>
          <w:sz w:val="24"/>
          <w:szCs w:val="24"/>
        </w:rPr>
        <w:t xml:space="preserve"> i</w:t>
      </w:r>
      <w:r w:rsidR="00834F9E">
        <w:rPr>
          <w:sz w:val="24"/>
          <w:szCs w:val="24"/>
        </w:rPr>
        <w:t xml:space="preserve">ncluant des représentants de l’UAE, La DGRPA, l’INS, Les AN, et la </w:t>
      </w:r>
      <w:r>
        <w:rPr>
          <w:sz w:val="24"/>
          <w:szCs w:val="24"/>
        </w:rPr>
        <w:t>DG</w:t>
      </w:r>
      <w:r w:rsidR="00834F9E">
        <w:rPr>
          <w:sz w:val="24"/>
          <w:szCs w:val="24"/>
        </w:rPr>
        <w:t>RPA</w:t>
      </w:r>
      <w:r w:rsidR="005E5895">
        <w:rPr>
          <w:sz w:val="24"/>
          <w:szCs w:val="24"/>
        </w:rPr>
        <w:t>,</w:t>
      </w:r>
      <w:r w:rsidR="00834F9E">
        <w:rPr>
          <w:sz w:val="24"/>
          <w:szCs w:val="24"/>
        </w:rPr>
        <w:t xml:space="preserve"> voir</w:t>
      </w:r>
      <w:r w:rsidR="005E5895">
        <w:rPr>
          <w:sz w:val="24"/>
          <w:szCs w:val="24"/>
        </w:rPr>
        <w:t>e</w:t>
      </w:r>
      <w:r w:rsidR="00834F9E">
        <w:rPr>
          <w:sz w:val="24"/>
          <w:szCs w:val="24"/>
        </w:rPr>
        <w:t xml:space="preserve"> l’INPDP</w:t>
      </w:r>
      <w:r>
        <w:rPr>
          <w:sz w:val="24"/>
          <w:szCs w:val="24"/>
        </w:rPr>
        <w:t xml:space="preserve">. Le comité devra être gouverné par une charte incluant </w:t>
      </w:r>
      <w:r w:rsidR="002B413B">
        <w:rPr>
          <w:sz w:val="24"/>
          <w:szCs w:val="24"/>
        </w:rPr>
        <w:t>les éléments suivants</w:t>
      </w:r>
      <w:r w:rsidR="00FA5446">
        <w:rPr>
          <w:sz w:val="24"/>
          <w:szCs w:val="24"/>
        </w:rPr>
        <w:t xml:space="preserve"> </w:t>
      </w:r>
      <w:r>
        <w:rPr>
          <w:sz w:val="24"/>
          <w:szCs w:val="24"/>
        </w:rPr>
        <w:t>:</w:t>
      </w:r>
    </w:p>
    <w:p w14:paraId="3A247097" w14:textId="5FAE2293" w:rsidR="004C4146" w:rsidRDefault="004C4146" w:rsidP="00D5699E">
      <w:pPr>
        <w:pStyle w:val="Paragraphedeliste"/>
        <w:numPr>
          <w:ilvl w:val="2"/>
          <w:numId w:val="114"/>
        </w:numPr>
        <w:jc w:val="both"/>
        <w:rPr>
          <w:sz w:val="24"/>
          <w:szCs w:val="24"/>
        </w:rPr>
      </w:pPr>
      <w:r>
        <w:rPr>
          <w:sz w:val="24"/>
          <w:szCs w:val="24"/>
        </w:rPr>
        <w:t xml:space="preserve">Identification des membres et </w:t>
      </w:r>
      <w:r w:rsidR="00787C42">
        <w:rPr>
          <w:sz w:val="24"/>
          <w:szCs w:val="24"/>
        </w:rPr>
        <w:t xml:space="preserve">de </w:t>
      </w:r>
      <w:r>
        <w:rPr>
          <w:sz w:val="24"/>
          <w:szCs w:val="24"/>
        </w:rPr>
        <w:t>leur rôle respectif dans l’implémentation de l’initiative.</w:t>
      </w:r>
    </w:p>
    <w:p w14:paraId="2300168A" w14:textId="36714F2C" w:rsidR="004C4146" w:rsidRDefault="004C4146" w:rsidP="00D5699E">
      <w:pPr>
        <w:pStyle w:val="Paragraphedeliste"/>
        <w:numPr>
          <w:ilvl w:val="2"/>
          <w:numId w:val="114"/>
        </w:numPr>
        <w:jc w:val="both"/>
        <w:rPr>
          <w:sz w:val="24"/>
          <w:szCs w:val="24"/>
        </w:rPr>
      </w:pPr>
      <w:r>
        <w:rPr>
          <w:sz w:val="24"/>
          <w:szCs w:val="24"/>
        </w:rPr>
        <w:t>La mise en place d’une feuille de route couvrant les 12 à 24 premier</w:t>
      </w:r>
      <w:r w:rsidR="00787C42">
        <w:rPr>
          <w:sz w:val="24"/>
          <w:szCs w:val="24"/>
        </w:rPr>
        <w:t>s</w:t>
      </w:r>
      <w:r>
        <w:rPr>
          <w:sz w:val="24"/>
          <w:szCs w:val="24"/>
        </w:rPr>
        <w:t xml:space="preserve"> mois de l’initiative.</w:t>
      </w:r>
    </w:p>
    <w:p w14:paraId="556D8320" w14:textId="3EBACFCE" w:rsidR="004C4146" w:rsidRDefault="004C4146" w:rsidP="00D5699E">
      <w:pPr>
        <w:pStyle w:val="Paragraphedeliste"/>
        <w:numPr>
          <w:ilvl w:val="2"/>
          <w:numId w:val="114"/>
        </w:numPr>
        <w:jc w:val="both"/>
        <w:rPr>
          <w:sz w:val="24"/>
          <w:szCs w:val="24"/>
        </w:rPr>
      </w:pPr>
      <w:r>
        <w:rPr>
          <w:sz w:val="24"/>
          <w:szCs w:val="24"/>
        </w:rPr>
        <w:t>La stratégie et les actions essentielles à mener (principalement les actions décrites dans ce document) et les responsabilités respectives des différents membres.</w:t>
      </w:r>
    </w:p>
    <w:p w14:paraId="1FC2E289" w14:textId="5B7B6677" w:rsidR="00834F9E" w:rsidRDefault="002B413B" w:rsidP="00D5699E">
      <w:pPr>
        <w:pStyle w:val="Paragraphedeliste"/>
        <w:numPr>
          <w:ilvl w:val="2"/>
          <w:numId w:val="114"/>
        </w:numPr>
        <w:jc w:val="both"/>
        <w:rPr>
          <w:sz w:val="24"/>
          <w:szCs w:val="24"/>
        </w:rPr>
      </w:pPr>
      <w:r>
        <w:rPr>
          <w:sz w:val="24"/>
          <w:szCs w:val="24"/>
        </w:rPr>
        <w:t>Le plan</w:t>
      </w:r>
      <w:r w:rsidR="00834F9E">
        <w:rPr>
          <w:sz w:val="24"/>
          <w:szCs w:val="24"/>
        </w:rPr>
        <w:t xml:space="preserve"> de suivi et </w:t>
      </w:r>
      <w:r w:rsidR="00787C42">
        <w:rPr>
          <w:sz w:val="24"/>
          <w:szCs w:val="24"/>
        </w:rPr>
        <w:t>d’</w:t>
      </w:r>
      <w:r w:rsidR="00834F9E">
        <w:rPr>
          <w:sz w:val="24"/>
          <w:szCs w:val="24"/>
        </w:rPr>
        <w:t>évaluation</w:t>
      </w:r>
    </w:p>
    <w:p w14:paraId="654C380B" w14:textId="542838E0" w:rsidR="004C4146" w:rsidRDefault="004C4146" w:rsidP="00D5699E">
      <w:pPr>
        <w:pStyle w:val="Paragraphedeliste"/>
        <w:numPr>
          <w:ilvl w:val="2"/>
          <w:numId w:val="114"/>
        </w:numPr>
        <w:jc w:val="both"/>
        <w:rPr>
          <w:sz w:val="24"/>
          <w:szCs w:val="24"/>
        </w:rPr>
      </w:pPr>
      <w:r>
        <w:rPr>
          <w:sz w:val="24"/>
          <w:szCs w:val="24"/>
        </w:rPr>
        <w:t>Les groupes de travail thématiques à constituer et leurs objectifs</w:t>
      </w:r>
      <w:r w:rsidR="00A223EE">
        <w:rPr>
          <w:sz w:val="24"/>
          <w:szCs w:val="24"/>
        </w:rPr>
        <w:t xml:space="preserve">. </w:t>
      </w:r>
      <w:r w:rsidR="002B413B">
        <w:rPr>
          <w:sz w:val="24"/>
          <w:szCs w:val="24"/>
        </w:rPr>
        <w:t>Les groupes suivants</w:t>
      </w:r>
      <w:r w:rsidR="00A223EE">
        <w:rPr>
          <w:sz w:val="24"/>
          <w:szCs w:val="24"/>
        </w:rPr>
        <w:t xml:space="preserve"> sont les candidats identifiés durant la mission :</w:t>
      </w:r>
    </w:p>
    <w:p w14:paraId="5111A2AE" w14:textId="77777777" w:rsidR="00A223EE" w:rsidRDefault="00A223EE" w:rsidP="00D5699E">
      <w:pPr>
        <w:pStyle w:val="Paragraphedeliste"/>
        <w:numPr>
          <w:ilvl w:val="3"/>
          <w:numId w:val="114"/>
        </w:numPr>
        <w:jc w:val="both"/>
        <w:rPr>
          <w:sz w:val="24"/>
        </w:rPr>
      </w:pPr>
      <w:r>
        <w:rPr>
          <w:sz w:val="24"/>
        </w:rPr>
        <w:t>Un groupe dédié à la mise en place des éléments relatifs au cadre législatif</w:t>
      </w:r>
    </w:p>
    <w:p w14:paraId="2C9AC63A" w14:textId="77777777" w:rsidR="00A223EE" w:rsidRDefault="00A223EE" w:rsidP="00D5699E">
      <w:pPr>
        <w:pStyle w:val="Paragraphedeliste"/>
        <w:numPr>
          <w:ilvl w:val="3"/>
          <w:numId w:val="114"/>
        </w:numPr>
        <w:jc w:val="both"/>
        <w:rPr>
          <w:sz w:val="24"/>
        </w:rPr>
      </w:pPr>
      <w:r>
        <w:rPr>
          <w:sz w:val="24"/>
        </w:rPr>
        <w:t>Un groupe dédié à la publication des données par les agences et ministères. Ce groupe accueillerait de nouveaux participants au fur et à mesure de l’évolution de l’initiative et de l’intégration de nouvelles agences et ministères. L’objectif de ce groupe sera le partage d’expérience, la résolution de problèmes et le suivi du plan d’évaluation.</w:t>
      </w:r>
    </w:p>
    <w:p w14:paraId="48B370D1" w14:textId="77777777" w:rsidR="00A223EE" w:rsidRDefault="00A223EE" w:rsidP="00D5699E">
      <w:pPr>
        <w:pStyle w:val="Paragraphedeliste"/>
        <w:numPr>
          <w:ilvl w:val="3"/>
          <w:numId w:val="114"/>
        </w:numPr>
        <w:jc w:val="both"/>
        <w:rPr>
          <w:sz w:val="24"/>
        </w:rPr>
      </w:pPr>
      <w:r>
        <w:rPr>
          <w:sz w:val="24"/>
        </w:rPr>
        <w:t>Un groupe technique dédié à la sélection d’une plateforme de portail de données qui serait recommandée pour toutes les structures souhaitant mettre en place leur propre portail. Ce groupe serait également en charge du choix des standards techniques. Il rassemblerait des représentants de l’ensemble des équipes techniques ayant déjà participé à la mise en place d’un portail.</w:t>
      </w:r>
    </w:p>
    <w:p w14:paraId="26FBE249" w14:textId="09218869" w:rsidR="00A223EE" w:rsidRDefault="00A223EE" w:rsidP="00D5699E">
      <w:pPr>
        <w:pStyle w:val="Paragraphedeliste"/>
        <w:numPr>
          <w:ilvl w:val="3"/>
          <w:numId w:val="114"/>
        </w:numPr>
        <w:jc w:val="both"/>
        <w:rPr>
          <w:sz w:val="24"/>
        </w:rPr>
      </w:pPr>
      <w:r>
        <w:rPr>
          <w:sz w:val="24"/>
        </w:rPr>
        <w:t>Un groupe en charge de la définition des métadonnées obligatoires pour les jeux de données. Ce groupe comprendrai</w:t>
      </w:r>
      <w:r w:rsidR="00787C42">
        <w:rPr>
          <w:sz w:val="24"/>
        </w:rPr>
        <w:t>t</w:t>
      </w:r>
      <w:r>
        <w:rPr>
          <w:sz w:val="24"/>
        </w:rPr>
        <w:t xml:space="preserve"> au minimum les Archives Nationale</w:t>
      </w:r>
      <w:r w:rsidR="00787C42">
        <w:rPr>
          <w:sz w:val="24"/>
        </w:rPr>
        <w:t>s</w:t>
      </w:r>
      <w:r>
        <w:rPr>
          <w:sz w:val="24"/>
        </w:rPr>
        <w:t>, l’ANSI et l’INS</w:t>
      </w:r>
    </w:p>
    <w:p w14:paraId="03FB0C40" w14:textId="4D2AFE3B" w:rsidR="00A223EE" w:rsidRPr="00C26B41" w:rsidRDefault="00A223EE" w:rsidP="00D5699E">
      <w:pPr>
        <w:pStyle w:val="Paragraphedeliste"/>
        <w:numPr>
          <w:ilvl w:val="3"/>
          <w:numId w:val="114"/>
        </w:numPr>
        <w:jc w:val="both"/>
        <w:rPr>
          <w:sz w:val="24"/>
        </w:rPr>
      </w:pPr>
      <w:r>
        <w:rPr>
          <w:sz w:val="24"/>
        </w:rPr>
        <w:t>Un groupe en charge de la définition des plans de communication et de sensibilisation ainsi que des plans de formation</w:t>
      </w:r>
    </w:p>
    <w:p w14:paraId="380EDA89" w14:textId="4CC86440" w:rsidR="004C4146" w:rsidRDefault="00834F9E" w:rsidP="00D5699E">
      <w:pPr>
        <w:pStyle w:val="Paragraphedeliste"/>
        <w:numPr>
          <w:ilvl w:val="1"/>
          <w:numId w:val="114"/>
        </w:numPr>
        <w:jc w:val="both"/>
        <w:rPr>
          <w:sz w:val="24"/>
          <w:szCs w:val="24"/>
        </w:rPr>
      </w:pPr>
      <w:r>
        <w:rPr>
          <w:sz w:val="24"/>
          <w:szCs w:val="24"/>
        </w:rPr>
        <w:t>Responsabilité : UAE</w:t>
      </w:r>
    </w:p>
    <w:p w14:paraId="2CE279C3" w14:textId="15143140" w:rsidR="004C4146" w:rsidRDefault="004C4146" w:rsidP="00D5699E">
      <w:pPr>
        <w:pStyle w:val="Paragraphedeliste"/>
        <w:numPr>
          <w:ilvl w:val="1"/>
          <w:numId w:val="114"/>
        </w:numPr>
        <w:jc w:val="both"/>
        <w:rPr>
          <w:sz w:val="24"/>
          <w:szCs w:val="24"/>
        </w:rPr>
      </w:pPr>
      <w:r>
        <w:rPr>
          <w:sz w:val="24"/>
          <w:szCs w:val="24"/>
        </w:rPr>
        <w:t>Temps requis</w:t>
      </w:r>
      <w:r w:rsidR="00FA5446">
        <w:rPr>
          <w:sz w:val="24"/>
          <w:szCs w:val="24"/>
        </w:rPr>
        <w:t xml:space="preserve"> </w:t>
      </w:r>
      <w:r>
        <w:rPr>
          <w:sz w:val="24"/>
          <w:szCs w:val="24"/>
        </w:rPr>
        <w:t>: 1-2 mois</w:t>
      </w:r>
    </w:p>
    <w:p w14:paraId="0765E5F7" w14:textId="4830B42E" w:rsidR="004C4146" w:rsidRDefault="00787C42" w:rsidP="00D5699E">
      <w:pPr>
        <w:pStyle w:val="Paragraphedeliste"/>
        <w:numPr>
          <w:ilvl w:val="1"/>
          <w:numId w:val="114"/>
        </w:numPr>
        <w:jc w:val="both"/>
        <w:rPr>
          <w:sz w:val="24"/>
          <w:szCs w:val="24"/>
        </w:rPr>
      </w:pPr>
      <w:r>
        <w:rPr>
          <w:sz w:val="24"/>
          <w:szCs w:val="24"/>
        </w:rPr>
        <w:t>Coût</w:t>
      </w:r>
      <w:r w:rsidR="00FA5446">
        <w:rPr>
          <w:sz w:val="24"/>
          <w:szCs w:val="24"/>
        </w:rPr>
        <w:t xml:space="preserve"> </w:t>
      </w:r>
      <w:r w:rsidR="004C4146">
        <w:rPr>
          <w:sz w:val="24"/>
          <w:szCs w:val="24"/>
        </w:rPr>
        <w:t>: Re</w:t>
      </w:r>
      <w:r w:rsidR="00834F9E">
        <w:rPr>
          <w:sz w:val="24"/>
          <w:szCs w:val="24"/>
        </w:rPr>
        <w:t xml:space="preserve">ssources humaines affectées au </w:t>
      </w:r>
      <w:r w:rsidR="004C4146">
        <w:rPr>
          <w:sz w:val="24"/>
          <w:szCs w:val="24"/>
        </w:rPr>
        <w:t>C</w:t>
      </w:r>
      <w:r w:rsidR="00834F9E">
        <w:rPr>
          <w:sz w:val="24"/>
          <w:szCs w:val="24"/>
        </w:rPr>
        <w:t>o</w:t>
      </w:r>
      <w:r w:rsidR="004C4146">
        <w:rPr>
          <w:sz w:val="24"/>
          <w:szCs w:val="24"/>
        </w:rPr>
        <w:t>P</w:t>
      </w:r>
      <w:r w:rsidR="00834F9E">
        <w:rPr>
          <w:sz w:val="24"/>
          <w:szCs w:val="24"/>
        </w:rPr>
        <w:t>il</w:t>
      </w:r>
      <w:r w:rsidR="004C4146">
        <w:rPr>
          <w:sz w:val="24"/>
          <w:szCs w:val="24"/>
        </w:rPr>
        <w:t xml:space="preserve"> de l’ordre de 20% pour chaque membre plus un coordinateur à plein temps. </w:t>
      </w:r>
    </w:p>
    <w:p w14:paraId="0F7D30B7" w14:textId="77777777" w:rsidR="00FA5446" w:rsidRDefault="00FA5446" w:rsidP="00FA5446">
      <w:pPr>
        <w:pStyle w:val="Paragraphedeliste"/>
        <w:ind w:left="1440"/>
        <w:jc w:val="both"/>
        <w:rPr>
          <w:sz w:val="24"/>
          <w:szCs w:val="24"/>
        </w:rPr>
      </w:pPr>
    </w:p>
    <w:p w14:paraId="473BE460" w14:textId="3334DB3A" w:rsidR="00A223EE" w:rsidRDefault="00A223EE" w:rsidP="00D5699E">
      <w:pPr>
        <w:pStyle w:val="Paragraphedeliste"/>
        <w:numPr>
          <w:ilvl w:val="0"/>
          <w:numId w:val="114"/>
        </w:numPr>
        <w:jc w:val="both"/>
        <w:rPr>
          <w:sz w:val="24"/>
          <w:szCs w:val="24"/>
        </w:rPr>
      </w:pPr>
      <w:r>
        <w:rPr>
          <w:b/>
          <w:sz w:val="24"/>
          <w:szCs w:val="24"/>
        </w:rPr>
        <w:t xml:space="preserve">Définition des critères d’évaluation et suivi &amp; évaluation des performances de l’initiative Open Data globalement et des agences individuellement. </w:t>
      </w:r>
      <w:r>
        <w:rPr>
          <w:sz w:val="24"/>
          <w:szCs w:val="24"/>
        </w:rPr>
        <w:t xml:space="preserve">Cette mission devrait être confiée au CoPil. Le plan implémenterait notamment les indicateurs des </w:t>
      </w:r>
      <w:r>
        <w:rPr>
          <w:b/>
          <w:sz w:val="24"/>
          <w:szCs w:val="24"/>
        </w:rPr>
        <w:t xml:space="preserve"> </w:t>
      </w:r>
      <w:r>
        <w:rPr>
          <w:sz w:val="24"/>
          <w:szCs w:val="24"/>
        </w:rPr>
        <w:t xml:space="preserve">index internationaux de l’Open Data </w:t>
      </w:r>
      <w:r>
        <w:rPr>
          <w:bCs/>
          <w:sz w:val="24"/>
        </w:rPr>
        <w:t>(Open Data Barometer</w:t>
      </w:r>
      <w:r>
        <w:rPr>
          <w:rStyle w:val="Appelnotedebasdep"/>
          <w:bCs/>
          <w:sz w:val="24"/>
        </w:rPr>
        <w:footnoteReference w:id="129"/>
      </w:r>
      <w:r>
        <w:rPr>
          <w:bCs/>
          <w:sz w:val="24"/>
        </w:rPr>
        <w:t>, Open Data Index</w:t>
      </w:r>
      <w:r>
        <w:rPr>
          <w:rStyle w:val="Appelnotedebasdep"/>
          <w:bCs/>
          <w:sz w:val="24"/>
        </w:rPr>
        <w:footnoteReference w:id="130"/>
      </w:r>
      <w:r>
        <w:rPr>
          <w:bCs/>
          <w:sz w:val="24"/>
        </w:rPr>
        <w:t xml:space="preserve">). </w:t>
      </w:r>
    </w:p>
    <w:p w14:paraId="5FB52372" w14:textId="428643C3" w:rsidR="00A223EE" w:rsidRDefault="00A223EE" w:rsidP="00D5699E">
      <w:pPr>
        <w:pStyle w:val="Paragraphedeliste"/>
        <w:numPr>
          <w:ilvl w:val="1"/>
          <w:numId w:val="114"/>
        </w:numPr>
        <w:jc w:val="both"/>
        <w:rPr>
          <w:sz w:val="24"/>
          <w:szCs w:val="24"/>
        </w:rPr>
      </w:pPr>
      <w:r>
        <w:rPr>
          <w:sz w:val="24"/>
          <w:szCs w:val="24"/>
        </w:rPr>
        <w:t>Prérequis</w:t>
      </w:r>
      <w:r w:rsidR="00FA5446">
        <w:rPr>
          <w:sz w:val="24"/>
          <w:szCs w:val="24"/>
        </w:rPr>
        <w:t xml:space="preserve"> </w:t>
      </w:r>
      <w:r>
        <w:rPr>
          <w:sz w:val="24"/>
          <w:szCs w:val="24"/>
        </w:rPr>
        <w:t>: Le CoPil est en place</w:t>
      </w:r>
    </w:p>
    <w:p w14:paraId="431DADD2" w14:textId="6E61B145" w:rsidR="00A223EE" w:rsidRDefault="00A223EE" w:rsidP="00D5699E">
      <w:pPr>
        <w:pStyle w:val="Paragraphedeliste"/>
        <w:numPr>
          <w:ilvl w:val="1"/>
          <w:numId w:val="114"/>
        </w:numPr>
        <w:jc w:val="both"/>
        <w:rPr>
          <w:sz w:val="24"/>
          <w:szCs w:val="24"/>
        </w:rPr>
      </w:pPr>
      <w:r>
        <w:rPr>
          <w:sz w:val="24"/>
          <w:szCs w:val="24"/>
        </w:rPr>
        <w:t>Responsabilité: CoPil</w:t>
      </w:r>
    </w:p>
    <w:p w14:paraId="64A23039" w14:textId="77777777" w:rsidR="00A223EE" w:rsidRDefault="00A223EE" w:rsidP="00D5699E">
      <w:pPr>
        <w:pStyle w:val="Paragraphedeliste"/>
        <w:numPr>
          <w:ilvl w:val="1"/>
          <w:numId w:val="114"/>
        </w:numPr>
        <w:jc w:val="both"/>
        <w:rPr>
          <w:sz w:val="24"/>
          <w:szCs w:val="24"/>
        </w:rPr>
      </w:pPr>
      <w:r>
        <w:rPr>
          <w:sz w:val="24"/>
          <w:szCs w:val="24"/>
        </w:rPr>
        <w:t>Temps Requis: 3-6 mois</w:t>
      </w:r>
    </w:p>
    <w:p w14:paraId="3D20D9DE" w14:textId="2924F061" w:rsidR="00A223EE" w:rsidRDefault="00A223EE" w:rsidP="00D5699E">
      <w:pPr>
        <w:pStyle w:val="Paragraphedeliste"/>
        <w:numPr>
          <w:ilvl w:val="1"/>
          <w:numId w:val="114"/>
        </w:numPr>
        <w:jc w:val="both"/>
        <w:rPr>
          <w:sz w:val="24"/>
          <w:szCs w:val="24"/>
        </w:rPr>
      </w:pPr>
      <w:r>
        <w:rPr>
          <w:sz w:val="24"/>
          <w:szCs w:val="24"/>
        </w:rPr>
        <w:t>Co</w:t>
      </w:r>
      <w:r w:rsidR="00787C42">
        <w:rPr>
          <w:sz w:val="24"/>
          <w:szCs w:val="24"/>
        </w:rPr>
        <w:t>û</w:t>
      </w:r>
      <w:r>
        <w:rPr>
          <w:sz w:val="24"/>
          <w:szCs w:val="24"/>
        </w:rPr>
        <w:t>t: environ 20-30k pour le support d’experts internationaux sur le sujet</w:t>
      </w:r>
    </w:p>
    <w:p w14:paraId="6257393E" w14:textId="13B2ADFB" w:rsidR="00A223EE" w:rsidRDefault="00A223EE" w:rsidP="00A223EE">
      <w:pPr>
        <w:pStyle w:val="Paragraphedeliste"/>
        <w:jc w:val="both"/>
        <w:rPr>
          <w:sz w:val="24"/>
          <w:szCs w:val="24"/>
        </w:rPr>
      </w:pPr>
    </w:p>
    <w:p w14:paraId="48C93473" w14:textId="77777777" w:rsidR="00FA5446" w:rsidRDefault="00FA5446" w:rsidP="00A223EE">
      <w:pPr>
        <w:pStyle w:val="Paragraphedeliste"/>
        <w:jc w:val="both"/>
        <w:rPr>
          <w:sz w:val="24"/>
          <w:szCs w:val="24"/>
        </w:rPr>
      </w:pPr>
    </w:p>
    <w:p w14:paraId="089912FF" w14:textId="77777777" w:rsidR="004C4146" w:rsidRDefault="004C4146" w:rsidP="004C4146">
      <w:pPr>
        <w:pStyle w:val="Sous-titre"/>
        <w:spacing w:after="0"/>
        <w:rPr>
          <w:lang w:val="fr-FR"/>
        </w:rPr>
      </w:pPr>
      <w:r>
        <w:rPr>
          <w:lang w:val="fr-FR"/>
        </w:rPr>
        <w:t xml:space="preserve">CADRE REGLEMENTAIRE ET JURIDIQUE </w:t>
      </w:r>
    </w:p>
    <w:p w14:paraId="737A67BF" w14:textId="77777777" w:rsidR="004C4146" w:rsidRDefault="004C4146" w:rsidP="004C4146">
      <w:pPr>
        <w:spacing w:after="0"/>
      </w:pPr>
    </w:p>
    <w:p w14:paraId="39EB038C" w14:textId="5400DDDB" w:rsidR="004C4146" w:rsidRDefault="004C4146" w:rsidP="00D5699E">
      <w:pPr>
        <w:pStyle w:val="Paragraphedeliste"/>
        <w:numPr>
          <w:ilvl w:val="0"/>
          <w:numId w:val="115"/>
        </w:numPr>
        <w:jc w:val="both"/>
        <w:rPr>
          <w:sz w:val="24"/>
          <w:szCs w:val="24"/>
        </w:rPr>
      </w:pPr>
      <w:r>
        <w:rPr>
          <w:b/>
          <w:sz w:val="24"/>
          <w:szCs w:val="24"/>
        </w:rPr>
        <w:t xml:space="preserve">Développement et adoption d’un décret sur l’ouverture des </w:t>
      </w:r>
      <w:r w:rsidR="009352D9">
        <w:rPr>
          <w:b/>
          <w:sz w:val="24"/>
          <w:szCs w:val="24"/>
        </w:rPr>
        <w:t xml:space="preserve">données </w:t>
      </w:r>
      <w:r w:rsidR="002D2D85">
        <w:rPr>
          <w:b/>
          <w:sz w:val="24"/>
          <w:szCs w:val="24"/>
        </w:rPr>
        <w:t>gouvernementales :</w:t>
      </w:r>
      <w:r>
        <w:rPr>
          <w:b/>
          <w:sz w:val="24"/>
          <w:szCs w:val="24"/>
        </w:rPr>
        <w:t xml:space="preserve"> </w:t>
      </w:r>
      <w:r>
        <w:rPr>
          <w:sz w:val="24"/>
          <w:szCs w:val="24"/>
        </w:rPr>
        <w:t xml:space="preserve">Ce décret sera le premier élément réglementaire pour l’initiative Open Data. Il devra </w:t>
      </w:r>
      <w:r w:rsidR="00834F9E">
        <w:rPr>
          <w:sz w:val="24"/>
          <w:szCs w:val="24"/>
        </w:rPr>
        <w:t xml:space="preserve">au moins </w:t>
      </w:r>
      <w:r>
        <w:rPr>
          <w:sz w:val="24"/>
          <w:szCs w:val="24"/>
        </w:rPr>
        <w:t xml:space="preserve">couvrir </w:t>
      </w:r>
      <w:r w:rsidR="002B413B">
        <w:rPr>
          <w:sz w:val="24"/>
          <w:szCs w:val="24"/>
        </w:rPr>
        <w:t>les éléments suivants</w:t>
      </w:r>
      <w:r>
        <w:rPr>
          <w:sz w:val="24"/>
          <w:szCs w:val="24"/>
        </w:rPr>
        <w:t> :</w:t>
      </w:r>
    </w:p>
    <w:p w14:paraId="07F3E0C3" w14:textId="09267F26" w:rsidR="004C4146" w:rsidRDefault="002B413B" w:rsidP="00D5699E">
      <w:pPr>
        <w:pStyle w:val="Paragraphedeliste"/>
        <w:numPr>
          <w:ilvl w:val="2"/>
          <w:numId w:val="115"/>
        </w:numPr>
        <w:jc w:val="both"/>
        <w:rPr>
          <w:sz w:val="24"/>
          <w:szCs w:val="24"/>
        </w:rPr>
      </w:pPr>
      <w:r>
        <w:rPr>
          <w:sz w:val="24"/>
          <w:szCs w:val="24"/>
        </w:rPr>
        <w:t>La</w:t>
      </w:r>
      <w:r w:rsidR="004C4146">
        <w:rPr>
          <w:sz w:val="24"/>
          <w:szCs w:val="24"/>
        </w:rPr>
        <w:t xml:space="preserve"> mise en place de l’initiative et </w:t>
      </w:r>
      <w:r w:rsidR="00787C42">
        <w:rPr>
          <w:sz w:val="24"/>
          <w:szCs w:val="24"/>
        </w:rPr>
        <w:t>de s</w:t>
      </w:r>
      <w:r w:rsidR="004C4146">
        <w:rPr>
          <w:sz w:val="24"/>
          <w:szCs w:val="24"/>
        </w:rPr>
        <w:t>es différents comités,</w:t>
      </w:r>
    </w:p>
    <w:p w14:paraId="32025695" w14:textId="5CAB83C6" w:rsidR="004C4146" w:rsidRDefault="004C4146" w:rsidP="00D5699E">
      <w:pPr>
        <w:pStyle w:val="Paragraphedeliste"/>
        <w:numPr>
          <w:ilvl w:val="2"/>
          <w:numId w:val="115"/>
        </w:numPr>
        <w:jc w:val="both"/>
        <w:rPr>
          <w:sz w:val="24"/>
          <w:szCs w:val="24"/>
        </w:rPr>
      </w:pPr>
      <w:r>
        <w:rPr>
          <w:sz w:val="24"/>
          <w:szCs w:val="24"/>
        </w:rPr>
        <w:t>Les agences et sociétés publiques ou parapublique</w:t>
      </w:r>
      <w:r w:rsidR="00787C42">
        <w:rPr>
          <w:sz w:val="24"/>
          <w:szCs w:val="24"/>
        </w:rPr>
        <w:t>s</w:t>
      </w:r>
      <w:r>
        <w:rPr>
          <w:sz w:val="24"/>
          <w:szCs w:val="24"/>
        </w:rPr>
        <w:t xml:space="preserve"> concernées par l’ouverture des données </w:t>
      </w:r>
    </w:p>
    <w:p w14:paraId="1EC05F62" w14:textId="72C73C5B" w:rsidR="004C4146" w:rsidRDefault="002B413B" w:rsidP="00D5699E">
      <w:pPr>
        <w:pStyle w:val="Paragraphedeliste"/>
        <w:numPr>
          <w:ilvl w:val="2"/>
          <w:numId w:val="115"/>
        </w:numPr>
        <w:jc w:val="both"/>
        <w:rPr>
          <w:sz w:val="24"/>
          <w:szCs w:val="24"/>
        </w:rPr>
      </w:pPr>
      <w:r>
        <w:rPr>
          <w:sz w:val="24"/>
          <w:szCs w:val="24"/>
        </w:rPr>
        <w:t>Le</w:t>
      </w:r>
      <w:r w:rsidR="004C4146">
        <w:rPr>
          <w:sz w:val="24"/>
          <w:szCs w:val="24"/>
        </w:rPr>
        <w:t xml:space="preserve"> cadre des données concernées avec de préférence l’ouverture par défaut (« Open by default »)</w:t>
      </w:r>
    </w:p>
    <w:p w14:paraId="70EF118D" w14:textId="6D2C64E9" w:rsidR="00834F9E" w:rsidRDefault="00834F9E" w:rsidP="00D5699E">
      <w:pPr>
        <w:pStyle w:val="Paragraphedeliste"/>
        <w:numPr>
          <w:ilvl w:val="2"/>
          <w:numId w:val="115"/>
        </w:numPr>
        <w:jc w:val="both"/>
        <w:rPr>
          <w:sz w:val="24"/>
          <w:szCs w:val="24"/>
        </w:rPr>
      </w:pPr>
      <w:r>
        <w:rPr>
          <w:sz w:val="24"/>
          <w:szCs w:val="24"/>
        </w:rPr>
        <w:t xml:space="preserve">Le niveau de désagrégation </w:t>
      </w:r>
    </w:p>
    <w:p w14:paraId="5517F07E" w14:textId="77777777" w:rsidR="004C4146" w:rsidRDefault="004C4146" w:rsidP="00D5699E">
      <w:pPr>
        <w:pStyle w:val="Paragraphedeliste"/>
        <w:numPr>
          <w:ilvl w:val="2"/>
          <w:numId w:val="115"/>
        </w:numPr>
        <w:jc w:val="both"/>
        <w:rPr>
          <w:sz w:val="24"/>
          <w:szCs w:val="24"/>
        </w:rPr>
      </w:pPr>
      <w:r>
        <w:rPr>
          <w:sz w:val="24"/>
          <w:szCs w:val="24"/>
        </w:rPr>
        <w:t>Les licences attachées aux données</w:t>
      </w:r>
    </w:p>
    <w:p w14:paraId="1271ECF7" w14:textId="77777777" w:rsidR="004C4146" w:rsidRDefault="004C4146" w:rsidP="00D5699E">
      <w:pPr>
        <w:pStyle w:val="Paragraphedeliste"/>
        <w:numPr>
          <w:ilvl w:val="2"/>
          <w:numId w:val="115"/>
        </w:numPr>
        <w:jc w:val="both"/>
        <w:rPr>
          <w:sz w:val="24"/>
          <w:szCs w:val="24"/>
        </w:rPr>
      </w:pPr>
      <w:r>
        <w:rPr>
          <w:sz w:val="24"/>
          <w:szCs w:val="24"/>
        </w:rPr>
        <w:t>Les processus obligatoires de publication</w:t>
      </w:r>
    </w:p>
    <w:p w14:paraId="379C7561" w14:textId="77777777" w:rsidR="004C4146" w:rsidRDefault="004C4146" w:rsidP="00D5699E">
      <w:pPr>
        <w:pStyle w:val="Paragraphedeliste"/>
        <w:numPr>
          <w:ilvl w:val="2"/>
          <w:numId w:val="115"/>
        </w:numPr>
        <w:jc w:val="both"/>
        <w:rPr>
          <w:sz w:val="24"/>
          <w:szCs w:val="24"/>
        </w:rPr>
      </w:pPr>
      <w:r>
        <w:rPr>
          <w:sz w:val="24"/>
          <w:szCs w:val="24"/>
        </w:rPr>
        <w:t>Les modalités de demande d’ouverture de données par les acteurs non-étatiques et les procédures de réponse</w:t>
      </w:r>
    </w:p>
    <w:p w14:paraId="084FE62E" w14:textId="24E89A57" w:rsidR="004C4146" w:rsidRDefault="004C4146" w:rsidP="00D5699E">
      <w:pPr>
        <w:pStyle w:val="Paragraphedeliste"/>
        <w:numPr>
          <w:ilvl w:val="2"/>
          <w:numId w:val="115"/>
        </w:numPr>
        <w:jc w:val="both"/>
        <w:rPr>
          <w:sz w:val="24"/>
          <w:szCs w:val="24"/>
        </w:rPr>
      </w:pPr>
      <w:r>
        <w:rPr>
          <w:sz w:val="24"/>
          <w:szCs w:val="24"/>
        </w:rPr>
        <w:t xml:space="preserve">Les obligations </w:t>
      </w:r>
      <w:r w:rsidR="00834F9E">
        <w:rPr>
          <w:sz w:val="24"/>
          <w:szCs w:val="24"/>
        </w:rPr>
        <w:t xml:space="preserve">de publication et </w:t>
      </w:r>
      <w:r w:rsidR="00787C42">
        <w:rPr>
          <w:sz w:val="24"/>
          <w:szCs w:val="24"/>
        </w:rPr>
        <w:t>l</w:t>
      </w:r>
      <w:r w:rsidR="00834F9E">
        <w:rPr>
          <w:sz w:val="24"/>
          <w:szCs w:val="24"/>
        </w:rPr>
        <w:t>es contraintes (protection des données personnelles, information</w:t>
      </w:r>
      <w:r w:rsidR="00787C42">
        <w:rPr>
          <w:sz w:val="24"/>
          <w:szCs w:val="24"/>
        </w:rPr>
        <w:t>s</w:t>
      </w:r>
      <w:r w:rsidR="00834F9E">
        <w:rPr>
          <w:sz w:val="24"/>
          <w:szCs w:val="24"/>
        </w:rPr>
        <w:t xml:space="preserve"> classifiées)</w:t>
      </w:r>
    </w:p>
    <w:p w14:paraId="24166AC2" w14:textId="33120706" w:rsidR="00834F9E" w:rsidRPr="00834F9E" w:rsidRDefault="00834F9E" w:rsidP="00D5699E">
      <w:pPr>
        <w:pStyle w:val="Paragraphedeliste"/>
        <w:numPr>
          <w:ilvl w:val="2"/>
          <w:numId w:val="115"/>
        </w:numPr>
        <w:jc w:val="both"/>
        <w:rPr>
          <w:sz w:val="24"/>
          <w:szCs w:val="24"/>
        </w:rPr>
      </w:pPr>
      <w:r>
        <w:rPr>
          <w:sz w:val="24"/>
          <w:szCs w:val="24"/>
        </w:rPr>
        <w:t xml:space="preserve">L’obligation de mettre en place et </w:t>
      </w:r>
      <w:r w:rsidR="00787C42">
        <w:rPr>
          <w:sz w:val="24"/>
          <w:szCs w:val="24"/>
        </w:rPr>
        <w:t xml:space="preserve">de </w:t>
      </w:r>
      <w:r>
        <w:rPr>
          <w:sz w:val="24"/>
          <w:szCs w:val="24"/>
        </w:rPr>
        <w:t>maintenir un inventaire des données</w:t>
      </w:r>
    </w:p>
    <w:p w14:paraId="7C3E2150" w14:textId="15F7844A" w:rsidR="004C4146" w:rsidRDefault="004C4146" w:rsidP="00D5699E">
      <w:pPr>
        <w:pStyle w:val="Paragraphedeliste"/>
        <w:numPr>
          <w:ilvl w:val="2"/>
          <w:numId w:val="115"/>
        </w:numPr>
        <w:jc w:val="both"/>
        <w:rPr>
          <w:sz w:val="24"/>
          <w:szCs w:val="24"/>
        </w:rPr>
      </w:pPr>
      <w:r>
        <w:rPr>
          <w:sz w:val="24"/>
          <w:szCs w:val="24"/>
        </w:rPr>
        <w:t xml:space="preserve">La gratuité de l’accès aux données </w:t>
      </w:r>
    </w:p>
    <w:p w14:paraId="539ABD9C" w14:textId="648F1B6A" w:rsidR="00834F9E" w:rsidRDefault="00834F9E" w:rsidP="00D5699E">
      <w:pPr>
        <w:pStyle w:val="Paragraphedeliste"/>
        <w:numPr>
          <w:ilvl w:val="2"/>
          <w:numId w:val="115"/>
        </w:numPr>
        <w:jc w:val="both"/>
        <w:rPr>
          <w:sz w:val="24"/>
          <w:szCs w:val="24"/>
        </w:rPr>
      </w:pPr>
      <w:r>
        <w:rPr>
          <w:sz w:val="24"/>
          <w:szCs w:val="24"/>
        </w:rPr>
        <w:t xml:space="preserve">Le plan de suivi et </w:t>
      </w:r>
      <w:r w:rsidR="00787C42">
        <w:rPr>
          <w:sz w:val="24"/>
          <w:szCs w:val="24"/>
        </w:rPr>
        <w:t>d’</w:t>
      </w:r>
      <w:r>
        <w:rPr>
          <w:sz w:val="24"/>
          <w:szCs w:val="24"/>
        </w:rPr>
        <w:t>évaluation et la définition des indicateurs clé</w:t>
      </w:r>
    </w:p>
    <w:p w14:paraId="7690F983" w14:textId="2967FEF0" w:rsidR="004C4146" w:rsidRDefault="004C4146" w:rsidP="00D5699E">
      <w:pPr>
        <w:pStyle w:val="Paragraphedeliste"/>
        <w:numPr>
          <w:ilvl w:val="1"/>
          <w:numId w:val="115"/>
        </w:numPr>
        <w:jc w:val="both"/>
        <w:rPr>
          <w:sz w:val="24"/>
          <w:szCs w:val="24"/>
        </w:rPr>
      </w:pPr>
      <w:r>
        <w:rPr>
          <w:sz w:val="24"/>
          <w:szCs w:val="24"/>
        </w:rPr>
        <w:t xml:space="preserve">Responsabilité: </w:t>
      </w:r>
      <w:r w:rsidR="00834F9E">
        <w:rPr>
          <w:sz w:val="24"/>
          <w:szCs w:val="24"/>
        </w:rPr>
        <w:t>CoPil - DGRPA</w:t>
      </w:r>
      <w:r>
        <w:rPr>
          <w:sz w:val="24"/>
          <w:szCs w:val="24"/>
        </w:rPr>
        <w:t xml:space="preserve"> </w:t>
      </w:r>
    </w:p>
    <w:p w14:paraId="32C115BF" w14:textId="77777777" w:rsidR="004C4146" w:rsidRDefault="004C4146" w:rsidP="00D5699E">
      <w:pPr>
        <w:pStyle w:val="Paragraphedeliste"/>
        <w:numPr>
          <w:ilvl w:val="1"/>
          <w:numId w:val="115"/>
        </w:numPr>
        <w:jc w:val="both"/>
        <w:rPr>
          <w:sz w:val="24"/>
          <w:szCs w:val="24"/>
        </w:rPr>
      </w:pPr>
      <w:r>
        <w:rPr>
          <w:sz w:val="24"/>
          <w:szCs w:val="24"/>
        </w:rPr>
        <w:t>Temps requis: 3-9 mois</w:t>
      </w:r>
    </w:p>
    <w:p w14:paraId="346BFD4E" w14:textId="6306650E" w:rsidR="004C4146" w:rsidRDefault="004C4146" w:rsidP="00D5699E">
      <w:pPr>
        <w:pStyle w:val="Paragraphedeliste"/>
        <w:numPr>
          <w:ilvl w:val="1"/>
          <w:numId w:val="115"/>
        </w:numPr>
        <w:jc w:val="both"/>
        <w:rPr>
          <w:sz w:val="24"/>
          <w:szCs w:val="24"/>
        </w:rPr>
      </w:pPr>
      <w:r>
        <w:rPr>
          <w:sz w:val="24"/>
          <w:szCs w:val="24"/>
        </w:rPr>
        <w:t>Co</w:t>
      </w:r>
      <w:r w:rsidR="00787C42">
        <w:rPr>
          <w:sz w:val="24"/>
          <w:szCs w:val="24"/>
        </w:rPr>
        <w:t>û</w:t>
      </w:r>
      <w:r>
        <w:rPr>
          <w:sz w:val="24"/>
          <w:szCs w:val="24"/>
        </w:rPr>
        <w:t>t: Les co</w:t>
      </w:r>
      <w:r w:rsidR="00787C42">
        <w:rPr>
          <w:sz w:val="24"/>
          <w:szCs w:val="24"/>
        </w:rPr>
        <w:t>û</w:t>
      </w:r>
      <w:r>
        <w:rPr>
          <w:sz w:val="24"/>
          <w:szCs w:val="24"/>
        </w:rPr>
        <w:t xml:space="preserve">ts incluent </w:t>
      </w:r>
    </w:p>
    <w:p w14:paraId="2DE166AA" w14:textId="1A9192F8" w:rsidR="004C4146" w:rsidRDefault="004C4146" w:rsidP="00D5699E">
      <w:pPr>
        <w:pStyle w:val="Paragraphedeliste"/>
        <w:numPr>
          <w:ilvl w:val="2"/>
          <w:numId w:val="115"/>
        </w:numPr>
        <w:jc w:val="both"/>
        <w:rPr>
          <w:sz w:val="24"/>
          <w:szCs w:val="24"/>
        </w:rPr>
      </w:pPr>
      <w:r>
        <w:rPr>
          <w:sz w:val="24"/>
          <w:szCs w:val="24"/>
        </w:rPr>
        <w:t>Le développement du contenu du décret qui demande l’intervention d’experts internationaux sur le sujet. Une estimation approximative du co</w:t>
      </w:r>
      <w:r w:rsidR="00787C42">
        <w:rPr>
          <w:sz w:val="24"/>
          <w:szCs w:val="24"/>
        </w:rPr>
        <w:t>û</w:t>
      </w:r>
      <w:r>
        <w:rPr>
          <w:sz w:val="24"/>
          <w:szCs w:val="24"/>
        </w:rPr>
        <w:t xml:space="preserve">t d’un expert international sur le sujet incluant la définition des licences </w:t>
      </w:r>
      <w:r w:rsidR="00F25F43">
        <w:rPr>
          <w:sz w:val="24"/>
          <w:szCs w:val="24"/>
        </w:rPr>
        <w:t>et l</w:t>
      </w:r>
      <w:r w:rsidR="005074FC">
        <w:rPr>
          <w:sz w:val="24"/>
          <w:szCs w:val="24"/>
        </w:rPr>
        <w:t>e</w:t>
      </w:r>
      <w:r w:rsidR="00F25F43">
        <w:rPr>
          <w:sz w:val="24"/>
          <w:szCs w:val="24"/>
        </w:rPr>
        <w:t xml:space="preserve"> plan de suivi et évaluation </w:t>
      </w:r>
      <w:r>
        <w:rPr>
          <w:sz w:val="24"/>
          <w:szCs w:val="24"/>
        </w:rPr>
        <w:t>est de l’ordre de 50k à 75k USD</w:t>
      </w:r>
    </w:p>
    <w:p w14:paraId="3B2C4C9E" w14:textId="04BA03E4" w:rsidR="004C4146" w:rsidRDefault="004C4146" w:rsidP="00D5699E">
      <w:pPr>
        <w:pStyle w:val="Paragraphedeliste"/>
        <w:numPr>
          <w:ilvl w:val="2"/>
          <w:numId w:val="115"/>
        </w:numPr>
        <w:jc w:val="both"/>
        <w:rPr>
          <w:sz w:val="24"/>
          <w:szCs w:val="24"/>
        </w:rPr>
      </w:pPr>
      <w:r>
        <w:rPr>
          <w:sz w:val="24"/>
          <w:szCs w:val="24"/>
        </w:rPr>
        <w:t>Les ressources humaines pour gérer le processus de développement du décret</w:t>
      </w:r>
      <w:r w:rsidR="00C26B41">
        <w:rPr>
          <w:sz w:val="24"/>
          <w:szCs w:val="24"/>
        </w:rPr>
        <w:t xml:space="preserve"> et son adoption</w:t>
      </w:r>
      <w:r>
        <w:rPr>
          <w:sz w:val="24"/>
          <w:szCs w:val="24"/>
        </w:rPr>
        <w:t>.</w:t>
      </w:r>
    </w:p>
    <w:p w14:paraId="2D842077" w14:textId="3651CA26" w:rsidR="004C4146" w:rsidRDefault="004C4146" w:rsidP="00D5699E">
      <w:pPr>
        <w:pStyle w:val="Paragraphedeliste"/>
        <w:numPr>
          <w:ilvl w:val="2"/>
          <w:numId w:val="115"/>
        </w:numPr>
        <w:jc w:val="both"/>
        <w:rPr>
          <w:sz w:val="24"/>
          <w:szCs w:val="24"/>
        </w:rPr>
      </w:pPr>
      <w:r>
        <w:rPr>
          <w:sz w:val="24"/>
          <w:szCs w:val="24"/>
        </w:rPr>
        <w:t>Les ressources humaines pour sensibiliser l’ensemble des agences et des gestionnaires de données sur le contenu du décret et les obligations pour les agences. Cette sensibilisation devra viser les responsables de données au niveau administratif (directeurs généraux, responsables d’agences, etc.)</w:t>
      </w:r>
      <w:r w:rsidR="00C26B41">
        <w:rPr>
          <w:sz w:val="24"/>
          <w:szCs w:val="24"/>
        </w:rPr>
        <w:t>, les chargés d’accès à l’information et les chargés d’Open Data</w:t>
      </w:r>
      <w:r>
        <w:rPr>
          <w:sz w:val="24"/>
          <w:szCs w:val="24"/>
        </w:rPr>
        <w:t>. Des sessions de sensibilisation sur les intérêts de l’open data et sur son importance politique seront organisés afin de promouvoir les impacts possibles sur la transparence, l’efficacité du gouvernement, l’amélioration des services publics et notamment le développement de services en ligne, le développement de l’innovation etc.</w:t>
      </w:r>
    </w:p>
    <w:p w14:paraId="40DE519E" w14:textId="3E1FC308" w:rsidR="004C4146" w:rsidRDefault="004C4146" w:rsidP="00D5699E">
      <w:pPr>
        <w:pStyle w:val="Paragraphedeliste"/>
        <w:numPr>
          <w:ilvl w:val="1"/>
          <w:numId w:val="115"/>
        </w:numPr>
        <w:jc w:val="both"/>
        <w:rPr>
          <w:sz w:val="24"/>
          <w:szCs w:val="24"/>
        </w:rPr>
      </w:pPr>
      <w:r>
        <w:rPr>
          <w:sz w:val="24"/>
          <w:szCs w:val="24"/>
        </w:rPr>
        <w:t>Référence</w:t>
      </w:r>
      <w:r w:rsidR="00787C42">
        <w:rPr>
          <w:sz w:val="24"/>
          <w:szCs w:val="24"/>
        </w:rPr>
        <w:t>s</w:t>
      </w:r>
      <w:r>
        <w:rPr>
          <w:sz w:val="24"/>
          <w:szCs w:val="24"/>
        </w:rPr>
        <w:t xml:space="preserve">: </w:t>
      </w:r>
    </w:p>
    <w:p w14:paraId="2BEDF2D1" w14:textId="77777777" w:rsidR="004C4146" w:rsidRDefault="004C4146" w:rsidP="00D5699E">
      <w:pPr>
        <w:pStyle w:val="Paragraphedeliste"/>
        <w:numPr>
          <w:ilvl w:val="2"/>
          <w:numId w:val="115"/>
        </w:numPr>
        <w:jc w:val="both"/>
        <w:rPr>
          <w:sz w:val="24"/>
          <w:szCs w:val="24"/>
        </w:rPr>
      </w:pPr>
      <w:r>
        <w:rPr>
          <w:sz w:val="24"/>
          <w:szCs w:val="24"/>
        </w:rPr>
        <w:t>Les licences développées et adoptées par le Gouvernement du Royaume-Uni</w:t>
      </w:r>
      <w:r>
        <w:rPr>
          <w:rStyle w:val="Appelnotedebasdep"/>
          <w:sz w:val="24"/>
          <w:szCs w:val="24"/>
        </w:rPr>
        <w:footnoteReference w:id="131"/>
      </w:r>
      <w:r>
        <w:rPr>
          <w:sz w:val="24"/>
          <w:szCs w:val="24"/>
        </w:rPr>
        <w:t xml:space="preserve"> (anglais)</w:t>
      </w:r>
    </w:p>
    <w:p w14:paraId="6288FC4A" w14:textId="77777777" w:rsidR="004C4146" w:rsidRDefault="004C4146" w:rsidP="00D5699E">
      <w:pPr>
        <w:pStyle w:val="Paragraphedeliste"/>
        <w:numPr>
          <w:ilvl w:val="2"/>
          <w:numId w:val="115"/>
        </w:numPr>
        <w:jc w:val="both"/>
        <w:rPr>
          <w:sz w:val="24"/>
          <w:szCs w:val="24"/>
        </w:rPr>
      </w:pPr>
      <w:r>
        <w:rPr>
          <w:sz w:val="24"/>
          <w:szCs w:val="24"/>
        </w:rPr>
        <w:t>Les licences pour l’Open Data: Guide Pratique</w:t>
      </w:r>
      <w:r>
        <w:rPr>
          <w:rStyle w:val="Appelnotedebasdep"/>
          <w:sz w:val="24"/>
          <w:szCs w:val="24"/>
        </w:rPr>
        <w:footnoteReference w:id="132"/>
      </w:r>
      <w:r>
        <w:rPr>
          <w:sz w:val="24"/>
          <w:szCs w:val="24"/>
        </w:rPr>
        <w:t xml:space="preserve"> (anglais)</w:t>
      </w:r>
    </w:p>
    <w:p w14:paraId="3C437DD9" w14:textId="77777777" w:rsidR="004C4146" w:rsidRDefault="004C4146" w:rsidP="00D5699E">
      <w:pPr>
        <w:pStyle w:val="Paragraphedeliste"/>
        <w:numPr>
          <w:ilvl w:val="2"/>
          <w:numId w:val="115"/>
        </w:numPr>
        <w:jc w:val="both"/>
        <w:rPr>
          <w:sz w:val="24"/>
          <w:szCs w:val="24"/>
        </w:rPr>
      </w:pPr>
      <w:r>
        <w:rPr>
          <w:sz w:val="24"/>
          <w:szCs w:val="24"/>
        </w:rPr>
        <w:t>La « Licence Ouverte » adoptée par le Gouvernement français</w:t>
      </w:r>
      <w:r>
        <w:rPr>
          <w:rStyle w:val="Appelnotedebasdep"/>
          <w:sz w:val="24"/>
          <w:szCs w:val="24"/>
        </w:rPr>
        <w:footnoteReference w:id="133"/>
      </w:r>
    </w:p>
    <w:p w14:paraId="043FB4F1" w14:textId="77777777" w:rsidR="004C4146" w:rsidRDefault="004C4146" w:rsidP="00D5699E">
      <w:pPr>
        <w:pStyle w:val="Paragraphedeliste"/>
        <w:numPr>
          <w:ilvl w:val="2"/>
          <w:numId w:val="115"/>
        </w:numPr>
        <w:jc w:val="both"/>
        <w:rPr>
          <w:sz w:val="24"/>
          <w:szCs w:val="24"/>
        </w:rPr>
      </w:pPr>
      <w:r>
        <w:rPr>
          <w:sz w:val="24"/>
          <w:szCs w:val="24"/>
        </w:rPr>
        <w:t>Le décret Open Data du Gouvernement du Mexique (espagnol)</w:t>
      </w:r>
      <w:r>
        <w:rPr>
          <w:rStyle w:val="Appelnotedebasdep"/>
          <w:sz w:val="24"/>
          <w:szCs w:val="24"/>
        </w:rPr>
        <w:footnoteReference w:id="134"/>
      </w:r>
    </w:p>
    <w:p w14:paraId="1B0D437E" w14:textId="5B30A28B" w:rsidR="004C4146" w:rsidRDefault="004C4146" w:rsidP="00D5699E">
      <w:pPr>
        <w:pStyle w:val="Paragraphedeliste"/>
        <w:numPr>
          <w:ilvl w:val="3"/>
          <w:numId w:val="115"/>
        </w:numPr>
        <w:jc w:val="both"/>
        <w:rPr>
          <w:sz w:val="24"/>
          <w:szCs w:val="24"/>
        </w:rPr>
      </w:pPr>
      <w:r>
        <w:rPr>
          <w:sz w:val="24"/>
          <w:szCs w:val="24"/>
        </w:rPr>
        <w:t>L’analyse de l’Open Data Institute</w:t>
      </w:r>
      <w:r>
        <w:rPr>
          <w:rStyle w:val="Appelnotedebasdep"/>
          <w:sz w:val="24"/>
          <w:szCs w:val="24"/>
        </w:rPr>
        <w:footnoteReference w:id="135"/>
      </w:r>
    </w:p>
    <w:p w14:paraId="73D8A04F" w14:textId="3100EFF4" w:rsidR="00BF0687" w:rsidRDefault="00BF0687" w:rsidP="004E0C69">
      <w:pPr>
        <w:pStyle w:val="Paragraphedeliste"/>
        <w:numPr>
          <w:ilvl w:val="2"/>
          <w:numId w:val="115"/>
        </w:numPr>
        <w:jc w:val="both"/>
        <w:rPr>
          <w:sz w:val="24"/>
          <w:szCs w:val="24"/>
        </w:rPr>
      </w:pPr>
      <w:r>
        <w:rPr>
          <w:sz w:val="24"/>
          <w:szCs w:val="24"/>
        </w:rPr>
        <w:t>Décret Open Data de la France</w:t>
      </w:r>
      <w:r>
        <w:rPr>
          <w:rStyle w:val="Appelnotedebasdep"/>
          <w:sz w:val="24"/>
          <w:szCs w:val="24"/>
        </w:rPr>
        <w:footnoteReference w:id="136"/>
      </w:r>
    </w:p>
    <w:p w14:paraId="66E2E641" w14:textId="77777777" w:rsidR="004C4146" w:rsidRDefault="004C4146" w:rsidP="004C4146">
      <w:pPr>
        <w:pStyle w:val="Sous-titre"/>
        <w:spacing w:before="0" w:after="0" w:line="276" w:lineRule="auto"/>
        <w:rPr>
          <w:lang w:val="fr-FR"/>
        </w:rPr>
      </w:pPr>
      <w:r>
        <w:rPr>
          <w:lang w:val="fr-FR"/>
        </w:rPr>
        <w:t xml:space="preserve">STRUCTURES INSTITUTIONNELLES, RESPONSABILITES ET COMPETENCES AU SEIN DU GOUVERNEMENT </w:t>
      </w:r>
    </w:p>
    <w:p w14:paraId="26712439" w14:textId="3E79676B" w:rsidR="00834F9E" w:rsidRDefault="004C4146" w:rsidP="00D5699E">
      <w:pPr>
        <w:pStyle w:val="Paragraphedeliste"/>
        <w:numPr>
          <w:ilvl w:val="0"/>
          <w:numId w:val="115"/>
        </w:numPr>
        <w:jc w:val="both"/>
        <w:rPr>
          <w:sz w:val="24"/>
          <w:szCs w:val="24"/>
        </w:rPr>
      </w:pPr>
      <w:r>
        <w:rPr>
          <w:b/>
          <w:sz w:val="24"/>
          <w:szCs w:val="24"/>
        </w:rPr>
        <w:t>Sensibilisation et renforcement des capacités sur l’Open Data et la publication sur un portail de données ouvertes au sein des agences et ministères</w:t>
      </w:r>
      <w:r>
        <w:rPr>
          <w:sz w:val="24"/>
          <w:szCs w:val="24"/>
        </w:rPr>
        <w:t>. Le rôle du C</w:t>
      </w:r>
      <w:r w:rsidR="00834F9E">
        <w:rPr>
          <w:sz w:val="24"/>
          <w:szCs w:val="24"/>
        </w:rPr>
        <w:t>o</w:t>
      </w:r>
      <w:r>
        <w:rPr>
          <w:sz w:val="24"/>
          <w:szCs w:val="24"/>
        </w:rPr>
        <w:t>P</w:t>
      </w:r>
      <w:r w:rsidR="00834F9E">
        <w:rPr>
          <w:sz w:val="24"/>
          <w:szCs w:val="24"/>
        </w:rPr>
        <w:t>il</w:t>
      </w:r>
      <w:r>
        <w:rPr>
          <w:sz w:val="24"/>
          <w:szCs w:val="24"/>
        </w:rPr>
        <w:t xml:space="preserve"> et des groupes de travail en charge de la publication des données sera d’impliquer les agences et de gérer la sensibilisation et le renforcement des capacités des </w:t>
      </w:r>
      <w:r w:rsidR="00A223EE">
        <w:rPr>
          <w:sz w:val="24"/>
          <w:szCs w:val="24"/>
        </w:rPr>
        <w:t>différents acteurs impliqués dans la publication des données à tous les niveaux de l’administration</w:t>
      </w:r>
      <w:r>
        <w:rPr>
          <w:sz w:val="24"/>
          <w:szCs w:val="24"/>
        </w:rPr>
        <w:t>.</w:t>
      </w:r>
    </w:p>
    <w:p w14:paraId="4AE20A7A" w14:textId="4133BC93" w:rsidR="005D1907" w:rsidRPr="00834F9E" w:rsidRDefault="004C4146" w:rsidP="005D1907">
      <w:pPr>
        <w:pStyle w:val="Paragraphedeliste"/>
        <w:jc w:val="both"/>
        <w:rPr>
          <w:sz w:val="24"/>
          <w:szCs w:val="24"/>
        </w:rPr>
      </w:pPr>
      <w:r w:rsidRPr="00834F9E">
        <w:rPr>
          <w:sz w:val="24"/>
          <w:szCs w:val="24"/>
        </w:rPr>
        <w:t>Un exemple d’une approche similaire est actuellement implémenté depuis plus d’un an en Tanzanie sous la forme d’investigations poussées dans des secteurs spécifiques (« Open data Dives »</w:t>
      </w:r>
      <w:r>
        <w:rPr>
          <w:rStyle w:val="Appelnotedebasdep"/>
          <w:sz w:val="24"/>
          <w:szCs w:val="24"/>
        </w:rPr>
        <w:footnoteReference w:id="137"/>
      </w:r>
      <w:r w:rsidRPr="00834F9E">
        <w:rPr>
          <w:sz w:val="24"/>
          <w:szCs w:val="24"/>
        </w:rPr>
        <w:t>). Un autre exemple est la mise en place d’une équipe spécialisée qui passe d’une agence à l’autre pour mettre en place dans chaque agence les processus et la publication des données. C’est l’approche choisi</w:t>
      </w:r>
      <w:r w:rsidR="00787C42">
        <w:rPr>
          <w:sz w:val="24"/>
          <w:szCs w:val="24"/>
        </w:rPr>
        <w:t>e</w:t>
      </w:r>
      <w:r w:rsidRPr="00834F9E">
        <w:rPr>
          <w:sz w:val="24"/>
          <w:szCs w:val="24"/>
        </w:rPr>
        <w:t xml:space="preserve"> par le Gouvernement du Mexique</w:t>
      </w:r>
      <w:r>
        <w:rPr>
          <w:rStyle w:val="Appelnotedebasdep"/>
          <w:sz w:val="24"/>
          <w:szCs w:val="24"/>
        </w:rPr>
        <w:footnoteReference w:id="138"/>
      </w:r>
      <w:r w:rsidR="00834F9E">
        <w:rPr>
          <w:sz w:val="24"/>
          <w:szCs w:val="24"/>
        </w:rPr>
        <w:t>. Ces actions devront vis</w:t>
      </w:r>
      <w:r w:rsidR="00787C42">
        <w:rPr>
          <w:sz w:val="24"/>
          <w:szCs w:val="24"/>
        </w:rPr>
        <w:t>er</w:t>
      </w:r>
      <w:r w:rsidR="00834F9E">
        <w:rPr>
          <w:sz w:val="24"/>
          <w:szCs w:val="24"/>
        </w:rPr>
        <w:t xml:space="preserve"> à la fois l’administration intermédiaire (Directeurs Généraux, Directeurs, sous-directeurs), les chargés d’accès à l’information et les chargés d’Open Data, et les équipes techniques, avec pour chacun des contenus adaptés. Il serait intéressant dès </w:t>
      </w:r>
      <w:r w:rsidR="005D1907">
        <w:rPr>
          <w:sz w:val="24"/>
          <w:szCs w:val="24"/>
        </w:rPr>
        <w:t>le départ de mettre en place un</w:t>
      </w:r>
      <w:r w:rsidR="00834F9E">
        <w:rPr>
          <w:sz w:val="24"/>
          <w:szCs w:val="24"/>
        </w:rPr>
        <w:t xml:space="preserve"> programme de formation de formateurs qui permettrait de </w:t>
      </w:r>
      <w:r w:rsidR="005D1907">
        <w:rPr>
          <w:sz w:val="24"/>
          <w:szCs w:val="24"/>
        </w:rPr>
        <w:t>développer</w:t>
      </w:r>
      <w:r w:rsidR="00834F9E">
        <w:rPr>
          <w:sz w:val="24"/>
          <w:szCs w:val="24"/>
        </w:rPr>
        <w:t xml:space="preserve"> au sein de l’</w:t>
      </w:r>
      <w:r w:rsidR="005D1907">
        <w:rPr>
          <w:sz w:val="24"/>
          <w:szCs w:val="24"/>
        </w:rPr>
        <w:t>administration</w:t>
      </w:r>
      <w:r w:rsidR="00834F9E">
        <w:rPr>
          <w:sz w:val="24"/>
          <w:szCs w:val="24"/>
        </w:rPr>
        <w:t xml:space="preserve"> des compétences pour reproduire ces formations sans faire appel à des experts internationaux</w:t>
      </w:r>
      <w:r w:rsidR="005D1907">
        <w:rPr>
          <w:sz w:val="24"/>
          <w:szCs w:val="24"/>
        </w:rPr>
        <w:t xml:space="preserve">. Les formateurs visés </w:t>
      </w:r>
      <w:r w:rsidR="002B413B">
        <w:rPr>
          <w:sz w:val="24"/>
          <w:szCs w:val="24"/>
        </w:rPr>
        <w:t>pourraient</w:t>
      </w:r>
      <w:r w:rsidR="005D1907">
        <w:rPr>
          <w:sz w:val="24"/>
          <w:szCs w:val="24"/>
        </w:rPr>
        <w:t xml:space="preserve"> être issus des organismes suivants : 1) </w:t>
      </w:r>
      <w:r w:rsidR="005D1907" w:rsidRPr="005D1907">
        <w:rPr>
          <w:sz w:val="24"/>
          <w:szCs w:val="24"/>
        </w:rPr>
        <w:t xml:space="preserve">Le Cifode’Com </w:t>
      </w:r>
      <w:r w:rsidR="005D1907">
        <w:rPr>
          <w:sz w:val="24"/>
          <w:szCs w:val="24"/>
        </w:rPr>
        <w:t>(</w:t>
      </w:r>
      <w:r w:rsidR="005D1907" w:rsidRPr="005D1907">
        <w:rPr>
          <w:sz w:val="24"/>
          <w:szCs w:val="24"/>
        </w:rPr>
        <w:t>Le Centre d'Information, de Formation, de Documentation et d'Etudes en Technologies des communications</w:t>
      </w:r>
      <w:r w:rsidR="005D1907">
        <w:rPr>
          <w:sz w:val="24"/>
          <w:szCs w:val="24"/>
        </w:rPr>
        <w:t xml:space="preserve">) </w:t>
      </w:r>
      <w:r w:rsidR="00787C42">
        <w:rPr>
          <w:sz w:val="24"/>
          <w:szCs w:val="24"/>
        </w:rPr>
        <w:t>p</w:t>
      </w:r>
      <w:r w:rsidR="005D1907" w:rsidRPr="005D1907">
        <w:rPr>
          <w:sz w:val="24"/>
          <w:szCs w:val="24"/>
        </w:rPr>
        <w:t>our les formations techniques</w:t>
      </w:r>
      <w:r w:rsidR="005D1907">
        <w:rPr>
          <w:sz w:val="24"/>
          <w:szCs w:val="24"/>
        </w:rPr>
        <w:t>. 2) Pour les collectivités locales, le CFAD (</w:t>
      </w:r>
      <w:r w:rsidR="005D1907" w:rsidRPr="005D1907">
        <w:rPr>
          <w:sz w:val="24"/>
          <w:szCs w:val="24"/>
        </w:rPr>
        <w:t>Centre de Formation et d'Appui à la Décentralisation</w:t>
      </w:r>
      <w:r w:rsidR="00E7117A">
        <w:rPr>
          <w:sz w:val="24"/>
          <w:szCs w:val="24"/>
        </w:rPr>
        <w:t>). 3)</w:t>
      </w:r>
      <w:r w:rsidR="00787C42">
        <w:rPr>
          <w:sz w:val="24"/>
          <w:szCs w:val="24"/>
        </w:rPr>
        <w:t xml:space="preserve"> </w:t>
      </w:r>
      <w:r w:rsidR="00E7117A">
        <w:rPr>
          <w:sz w:val="24"/>
          <w:szCs w:val="24"/>
        </w:rPr>
        <w:t>L’Institut de D</w:t>
      </w:r>
      <w:r w:rsidR="005D1907">
        <w:rPr>
          <w:sz w:val="24"/>
          <w:szCs w:val="24"/>
        </w:rPr>
        <w:t>éfense Nationale (I</w:t>
      </w:r>
      <w:r w:rsidR="00E7117A">
        <w:rPr>
          <w:sz w:val="24"/>
          <w:szCs w:val="24"/>
        </w:rPr>
        <w:t>DN</w:t>
      </w:r>
      <w:r w:rsidR="005D1907">
        <w:rPr>
          <w:sz w:val="24"/>
          <w:szCs w:val="24"/>
        </w:rPr>
        <w:t>) et l’Institut du leadership administratif de l’ENA pour les cadres de l’administration.</w:t>
      </w:r>
    </w:p>
    <w:p w14:paraId="5214C8A1" w14:textId="50AB5426" w:rsidR="004C4146" w:rsidRDefault="004C4146" w:rsidP="00D5699E">
      <w:pPr>
        <w:pStyle w:val="Paragraphedeliste"/>
        <w:numPr>
          <w:ilvl w:val="1"/>
          <w:numId w:val="115"/>
        </w:numPr>
        <w:jc w:val="both"/>
        <w:rPr>
          <w:sz w:val="24"/>
          <w:szCs w:val="24"/>
        </w:rPr>
      </w:pPr>
      <w:r>
        <w:rPr>
          <w:sz w:val="24"/>
          <w:szCs w:val="24"/>
        </w:rPr>
        <w:t>Responsabilité</w:t>
      </w:r>
      <w:r w:rsidR="00172680">
        <w:rPr>
          <w:sz w:val="24"/>
          <w:szCs w:val="24"/>
        </w:rPr>
        <w:t xml:space="preserve"> </w:t>
      </w:r>
      <w:r>
        <w:rPr>
          <w:sz w:val="24"/>
          <w:szCs w:val="24"/>
        </w:rPr>
        <w:t>: C</w:t>
      </w:r>
      <w:r w:rsidR="00834F9E">
        <w:rPr>
          <w:sz w:val="24"/>
          <w:szCs w:val="24"/>
        </w:rPr>
        <w:t>o</w:t>
      </w:r>
      <w:r>
        <w:rPr>
          <w:sz w:val="24"/>
          <w:szCs w:val="24"/>
        </w:rPr>
        <w:t>P</w:t>
      </w:r>
      <w:r w:rsidR="00834F9E">
        <w:rPr>
          <w:sz w:val="24"/>
          <w:szCs w:val="24"/>
        </w:rPr>
        <w:t>il+ groupe</w:t>
      </w:r>
      <w:r>
        <w:rPr>
          <w:sz w:val="24"/>
          <w:szCs w:val="24"/>
        </w:rPr>
        <w:t xml:space="preserve"> de travail </w:t>
      </w:r>
    </w:p>
    <w:p w14:paraId="0261A16F" w14:textId="6D3B5636" w:rsidR="004C4146" w:rsidRDefault="00834F9E" w:rsidP="00D5699E">
      <w:pPr>
        <w:pStyle w:val="Paragraphedeliste"/>
        <w:numPr>
          <w:ilvl w:val="1"/>
          <w:numId w:val="115"/>
        </w:numPr>
        <w:jc w:val="both"/>
        <w:rPr>
          <w:sz w:val="24"/>
          <w:szCs w:val="24"/>
        </w:rPr>
      </w:pPr>
      <w:r>
        <w:rPr>
          <w:sz w:val="24"/>
          <w:szCs w:val="24"/>
        </w:rPr>
        <w:t>Temps requis</w:t>
      </w:r>
      <w:r w:rsidR="00172680">
        <w:rPr>
          <w:sz w:val="24"/>
          <w:szCs w:val="24"/>
        </w:rPr>
        <w:t xml:space="preserve"> </w:t>
      </w:r>
      <w:r>
        <w:rPr>
          <w:sz w:val="24"/>
          <w:szCs w:val="24"/>
        </w:rPr>
        <w:t>: 12-24</w:t>
      </w:r>
      <w:r w:rsidR="004C4146">
        <w:rPr>
          <w:sz w:val="24"/>
          <w:szCs w:val="24"/>
        </w:rPr>
        <w:t xml:space="preserve"> mois pour toutes les agences</w:t>
      </w:r>
    </w:p>
    <w:p w14:paraId="767AC3BD" w14:textId="422542E5" w:rsidR="004C4146" w:rsidRDefault="00787C42" w:rsidP="00D5699E">
      <w:pPr>
        <w:pStyle w:val="Paragraphedeliste"/>
        <w:numPr>
          <w:ilvl w:val="1"/>
          <w:numId w:val="115"/>
        </w:numPr>
        <w:jc w:val="both"/>
        <w:rPr>
          <w:sz w:val="24"/>
          <w:szCs w:val="24"/>
        </w:rPr>
      </w:pPr>
      <w:r>
        <w:rPr>
          <w:sz w:val="24"/>
          <w:szCs w:val="24"/>
        </w:rPr>
        <w:t>Coût</w:t>
      </w:r>
      <w:r w:rsidR="00172680">
        <w:rPr>
          <w:sz w:val="24"/>
          <w:szCs w:val="24"/>
        </w:rPr>
        <w:t xml:space="preserve"> </w:t>
      </w:r>
      <w:r w:rsidR="004C4146">
        <w:rPr>
          <w:sz w:val="24"/>
          <w:szCs w:val="24"/>
        </w:rPr>
        <w:t>: environ 400</w:t>
      </w:r>
      <w:r w:rsidR="005D1907">
        <w:rPr>
          <w:sz w:val="24"/>
          <w:szCs w:val="24"/>
        </w:rPr>
        <w:t>-500</w:t>
      </w:r>
      <w:r w:rsidR="004C4146">
        <w:rPr>
          <w:sz w:val="24"/>
          <w:szCs w:val="24"/>
        </w:rPr>
        <w:t>K USD</w:t>
      </w:r>
      <w:r w:rsidR="00FA2075">
        <w:rPr>
          <w:sz w:val="24"/>
          <w:szCs w:val="24"/>
        </w:rPr>
        <w:t xml:space="preserve"> </w:t>
      </w:r>
      <w:r w:rsidR="001045F9">
        <w:rPr>
          <w:sz w:val="24"/>
          <w:szCs w:val="24"/>
        </w:rPr>
        <w:t>pour l’organisation d’une série</w:t>
      </w:r>
      <w:r w:rsidR="00FA2075">
        <w:rPr>
          <w:sz w:val="24"/>
          <w:szCs w:val="24"/>
        </w:rPr>
        <w:t xml:space="preserve"> de campagne</w:t>
      </w:r>
      <w:r w:rsidR="001045F9">
        <w:rPr>
          <w:sz w:val="24"/>
          <w:szCs w:val="24"/>
        </w:rPr>
        <w:t>s</w:t>
      </w:r>
      <w:r w:rsidR="00FA2075">
        <w:rPr>
          <w:sz w:val="24"/>
          <w:szCs w:val="24"/>
        </w:rPr>
        <w:t xml:space="preserve"> de formation</w:t>
      </w:r>
      <w:r w:rsidR="001045F9">
        <w:rPr>
          <w:sz w:val="24"/>
          <w:szCs w:val="24"/>
        </w:rPr>
        <w:t>s</w:t>
      </w:r>
      <w:r w:rsidR="00FA2075">
        <w:rPr>
          <w:sz w:val="24"/>
          <w:szCs w:val="24"/>
        </w:rPr>
        <w:t xml:space="preserve"> (sur la base d’environ 15 à 20k par session à raison d’une vingtaine de sessions</w:t>
      </w:r>
      <w:r w:rsidR="001045F9">
        <w:rPr>
          <w:sz w:val="24"/>
          <w:szCs w:val="24"/>
        </w:rPr>
        <w:t>)</w:t>
      </w:r>
      <w:r w:rsidR="00FA2075">
        <w:rPr>
          <w:sz w:val="24"/>
          <w:szCs w:val="24"/>
        </w:rPr>
        <w:t xml:space="preserve"> </w:t>
      </w:r>
    </w:p>
    <w:p w14:paraId="0D98D38C" w14:textId="4A277F01" w:rsidR="00A223EE" w:rsidRPr="00C26B41" w:rsidRDefault="00A223EE" w:rsidP="00D5699E">
      <w:pPr>
        <w:pStyle w:val="Paragraphedeliste"/>
        <w:numPr>
          <w:ilvl w:val="0"/>
          <w:numId w:val="115"/>
        </w:numPr>
        <w:jc w:val="both"/>
        <w:rPr>
          <w:sz w:val="24"/>
          <w:szCs w:val="24"/>
        </w:rPr>
      </w:pPr>
      <w:r>
        <w:rPr>
          <w:b/>
          <w:sz w:val="24"/>
          <w:szCs w:val="24"/>
        </w:rPr>
        <w:t>Mise en place d’une équipe technique d’appui</w:t>
      </w:r>
      <w:r>
        <w:rPr>
          <w:sz w:val="24"/>
          <w:szCs w:val="24"/>
        </w:rPr>
        <w:t>.</w:t>
      </w:r>
      <w:r w:rsidR="00C26B41">
        <w:rPr>
          <w:sz w:val="24"/>
          <w:szCs w:val="24"/>
        </w:rPr>
        <w:t xml:space="preserve"> L’adhésion des différentes agences et ministères au processus d’ouverture des données publiques, en plus de la sensibilisation, requiert un support technique que ce soit sur la mise en place d’un portail spécifique si le choix d’avoir un portail spécifique est fait, ou sur la publication de jeux de données et l’automatisation de cette tâche. </w:t>
      </w:r>
      <w:r w:rsidR="003C0F03">
        <w:rPr>
          <w:sz w:val="24"/>
          <w:szCs w:val="24"/>
        </w:rPr>
        <w:t xml:space="preserve">L’affectation de l’équipe technique à une structure particulière et la feuille de route associée sera du ressort du CoPil. </w:t>
      </w:r>
      <w:r w:rsidR="00C26B41">
        <w:rPr>
          <w:sz w:val="24"/>
          <w:szCs w:val="24"/>
        </w:rPr>
        <w:t>Il conviendra de réfléchir au positionnement de cette équipe soit via l’</w:t>
      </w:r>
      <w:r w:rsidR="003C0F03">
        <w:rPr>
          <w:sz w:val="24"/>
          <w:szCs w:val="24"/>
        </w:rPr>
        <w:t>extension</w:t>
      </w:r>
      <w:r w:rsidR="00C26B41">
        <w:rPr>
          <w:sz w:val="24"/>
          <w:szCs w:val="24"/>
        </w:rPr>
        <w:t xml:space="preserve"> de l’équipe technique de l’UAE, soit en utilisant des ressources déjà disponibles dans des structures particulières comme le CNI ou l’ATI et qui pourraient être mises à disposition à la demande</w:t>
      </w:r>
    </w:p>
    <w:p w14:paraId="423FF227" w14:textId="77777777" w:rsidR="00C26B41" w:rsidRDefault="00C26B41" w:rsidP="00D5699E">
      <w:pPr>
        <w:pStyle w:val="Paragraphedeliste"/>
        <w:numPr>
          <w:ilvl w:val="1"/>
          <w:numId w:val="115"/>
        </w:numPr>
        <w:jc w:val="both"/>
        <w:rPr>
          <w:sz w:val="24"/>
          <w:szCs w:val="24"/>
        </w:rPr>
      </w:pPr>
      <w:r>
        <w:rPr>
          <w:sz w:val="24"/>
          <w:szCs w:val="24"/>
        </w:rPr>
        <w:t>Prérequis</w:t>
      </w:r>
      <w:r w:rsidR="00A223EE">
        <w:rPr>
          <w:sz w:val="24"/>
          <w:szCs w:val="24"/>
        </w:rPr>
        <w:t xml:space="preserve"> : </w:t>
      </w:r>
    </w:p>
    <w:p w14:paraId="6D3B25F1" w14:textId="22E36EB0" w:rsidR="00A223EE" w:rsidRDefault="00C26B41" w:rsidP="00D5699E">
      <w:pPr>
        <w:pStyle w:val="Paragraphedeliste"/>
        <w:numPr>
          <w:ilvl w:val="2"/>
          <w:numId w:val="115"/>
        </w:numPr>
        <w:jc w:val="both"/>
        <w:rPr>
          <w:sz w:val="24"/>
          <w:szCs w:val="24"/>
        </w:rPr>
      </w:pPr>
      <w:r>
        <w:rPr>
          <w:sz w:val="24"/>
          <w:szCs w:val="24"/>
        </w:rPr>
        <w:t xml:space="preserve">Le groupe de travail sur la plateforme recommandée et les standards techniques </w:t>
      </w:r>
      <w:r w:rsidR="00B45D25">
        <w:rPr>
          <w:sz w:val="24"/>
          <w:szCs w:val="24"/>
        </w:rPr>
        <w:t xml:space="preserve">a </w:t>
      </w:r>
      <w:r>
        <w:rPr>
          <w:sz w:val="24"/>
          <w:szCs w:val="24"/>
        </w:rPr>
        <w:t>finalis</w:t>
      </w:r>
      <w:r w:rsidR="00B45D25">
        <w:rPr>
          <w:sz w:val="24"/>
          <w:szCs w:val="24"/>
        </w:rPr>
        <w:t>é</w:t>
      </w:r>
      <w:r>
        <w:rPr>
          <w:sz w:val="24"/>
          <w:szCs w:val="24"/>
        </w:rPr>
        <w:t xml:space="preserve"> les choix techniques</w:t>
      </w:r>
    </w:p>
    <w:p w14:paraId="7F060BB0" w14:textId="2401D805" w:rsidR="00C26B41" w:rsidRDefault="00C26B41" w:rsidP="00D5699E">
      <w:pPr>
        <w:pStyle w:val="Paragraphedeliste"/>
        <w:numPr>
          <w:ilvl w:val="2"/>
          <w:numId w:val="115"/>
        </w:numPr>
        <w:jc w:val="both"/>
        <w:rPr>
          <w:sz w:val="24"/>
          <w:szCs w:val="24"/>
        </w:rPr>
      </w:pPr>
      <w:r>
        <w:rPr>
          <w:sz w:val="24"/>
          <w:szCs w:val="24"/>
        </w:rPr>
        <w:t xml:space="preserve">Le groupe de travail sur les métadonnées </w:t>
      </w:r>
      <w:r w:rsidR="00B45D25">
        <w:rPr>
          <w:sz w:val="24"/>
          <w:szCs w:val="24"/>
        </w:rPr>
        <w:t>a</w:t>
      </w:r>
      <w:r>
        <w:rPr>
          <w:sz w:val="24"/>
          <w:szCs w:val="24"/>
        </w:rPr>
        <w:t xml:space="preserve"> finalis</w:t>
      </w:r>
      <w:r w:rsidR="00B45D25">
        <w:rPr>
          <w:sz w:val="24"/>
          <w:szCs w:val="24"/>
        </w:rPr>
        <w:t>é</w:t>
      </w:r>
      <w:r>
        <w:rPr>
          <w:sz w:val="24"/>
          <w:szCs w:val="24"/>
        </w:rPr>
        <w:t xml:space="preserve"> son travail</w:t>
      </w:r>
    </w:p>
    <w:p w14:paraId="2D4F6DC2" w14:textId="0E642F1D" w:rsidR="00C26B41" w:rsidRDefault="00C26B41" w:rsidP="00D5699E">
      <w:pPr>
        <w:pStyle w:val="Paragraphedeliste"/>
        <w:numPr>
          <w:ilvl w:val="2"/>
          <w:numId w:val="115"/>
        </w:numPr>
        <w:jc w:val="both"/>
        <w:rPr>
          <w:sz w:val="24"/>
          <w:szCs w:val="24"/>
        </w:rPr>
      </w:pPr>
      <w:r>
        <w:rPr>
          <w:sz w:val="24"/>
          <w:szCs w:val="24"/>
        </w:rPr>
        <w:t>Un groupe de personnel a été identifié comme membres de l’équipe et a reçu les formations techniques nécessaires</w:t>
      </w:r>
    </w:p>
    <w:p w14:paraId="3AF85FD3" w14:textId="29396F2C" w:rsidR="00A223EE" w:rsidRDefault="00A223EE" w:rsidP="00D5699E">
      <w:pPr>
        <w:pStyle w:val="Paragraphedeliste"/>
        <w:numPr>
          <w:ilvl w:val="1"/>
          <w:numId w:val="115"/>
        </w:numPr>
        <w:jc w:val="both"/>
        <w:rPr>
          <w:sz w:val="24"/>
          <w:szCs w:val="24"/>
        </w:rPr>
      </w:pPr>
      <w:r>
        <w:rPr>
          <w:sz w:val="24"/>
          <w:szCs w:val="24"/>
        </w:rPr>
        <w:t>Responsabilité</w:t>
      </w:r>
      <w:r w:rsidR="00172680">
        <w:rPr>
          <w:sz w:val="24"/>
          <w:szCs w:val="24"/>
        </w:rPr>
        <w:t xml:space="preserve"> </w:t>
      </w:r>
      <w:r>
        <w:rPr>
          <w:sz w:val="24"/>
          <w:szCs w:val="24"/>
        </w:rPr>
        <w:t>: CoPil</w:t>
      </w:r>
    </w:p>
    <w:p w14:paraId="658103CE" w14:textId="1773DDB6" w:rsidR="00A223EE" w:rsidRDefault="00A223EE" w:rsidP="00D5699E">
      <w:pPr>
        <w:pStyle w:val="Paragraphedeliste"/>
        <w:numPr>
          <w:ilvl w:val="1"/>
          <w:numId w:val="115"/>
        </w:numPr>
        <w:jc w:val="both"/>
        <w:rPr>
          <w:sz w:val="24"/>
          <w:szCs w:val="24"/>
        </w:rPr>
      </w:pPr>
      <w:r>
        <w:rPr>
          <w:sz w:val="24"/>
          <w:szCs w:val="24"/>
        </w:rPr>
        <w:t>Temps requis</w:t>
      </w:r>
      <w:r w:rsidR="00172680">
        <w:rPr>
          <w:sz w:val="24"/>
          <w:szCs w:val="24"/>
        </w:rPr>
        <w:t xml:space="preserve"> </w:t>
      </w:r>
      <w:r>
        <w:rPr>
          <w:sz w:val="24"/>
          <w:szCs w:val="24"/>
        </w:rPr>
        <w:t>: 12-24 mois pour toutes les agences</w:t>
      </w:r>
    </w:p>
    <w:p w14:paraId="228C5AD7" w14:textId="58C0F740" w:rsidR="00A223EE" w:rsidRDefault="00A223EE" w:rsidP="00D5699E">
      <w:pPr>
        <w:pStyle w:val="Paragraphedeliste"/>
        <w:numPr>
          <w:ilvl w:val="1"/>
          <w:numId w:val="115"/>
        </w:numPr>
        <w:jc w:val="both"/>
        <w:rPr>
          <w:sz w:val="24"/>
          <w:szCs w:val="24"/>
        </w:rPr>
      </w:pPr>
      <w:r>
        <w:rPr>
          <w:sz w:val="24"/>
          <w:szCs w:val="24"/>
        </w:rPr>
        <w:t>Co</w:t>
      </w:r>
      <w:r w:rsidR="00B45D25">
        <w:rPr>
          <w:sz w:val="24"/>
          <w:szCs w:val="24"/>
        </w:rPr>
        <w:t>û</w:t>
      </w:r>
      <w:r>
        <w:rPr>
          <w:sz w:val="24"/>
          <w:szCs w:val="24"/>
        </w:rPr>
        <w:t xml:space="preserve">t: </w:t>
      </w:r>
      <w:r w:rsidR="00C26B41">
        <w:rPr>
          <w:sz w:val="24"/>
          <w:szCs w:val="24"/>
        </w:rPr>
        <w:t>Il faut compter à la fois le co</w:t>
      </w:r>
      <w:r w:rsidR="00B45D25">
        <w:rPr>
          <w:sz w:val="24"/>
          <w:szCs w:val="24"/>
        </w:rPr>
        <w:t>û</w:t>
      </w:r>
      <w:r w:rsidR="00C26B41">
        <w:rPr>
          <w:sz w:val="24"/>
          <w:szCs w:val="24"/>
        </w:rPr>
        <w:t>t de l’équipe, environ l’équivalent de 2 personnes à temps plein réparties sur 5 ou 6 personnes avec des profils différents (spécialiste de portail, de publication, d’</w:t>
      </w:r>
      <w:r w:rsidR="003C0F03">
        <w:rPr>
          <w:sz w:val="24"/>
          <w:szCs w:val="24"/>
        </w:rPr>
        <w:t>anonymisation</w:t>
      </w:r>
      <w:r w:rsidR="00C26B41">
        <w:rPr>
          <w:sz w:val="24"/>
          <w:szCs w:val="24"/>
        </w:rPr>
        <w:t xml:space="preserve"> des données, etc.) et le </w:t>
      </w:r>
      <w:r w:rsidR="00B45D25">
        <w:rPr>
          <w:sz w:val="24"/>
          <w:szCs w:val="24"/>
        </w:rPr>
        <w:t xml:space="preserve">coût </w:t>
      </w:r>
      <w:r w:rsidR="00C26B41">
        <w:rPr>
          <w:sz w:val="24"/>
          <w:szCs w:val="24"/>
        </w:rPr>
        <w:t>de la formation de ces personnes dans les domaines spécifique</w:t>
      </w:r>
      <w:r w:rsidR="00D52F30">
        <w:rPr>
          <w:sz w:val="24"/>
          <w:szCs w:val="24"/>
        </w:rPr>
        <w:t>s</w:t>
      </w:r>
      <w:r w:rsidR="00C26B41">
        <w:rPr>
          <w:sz w:val="24"/>
          <w:szCs w:val="24"/>
        </w:rPr>
        <w:t xml:space="preserve"> (environ 5 à 10kUSD de co</w:t>
      </w:r>
      <w:r w:rsidR="00B45D25">
        <w:rPr>
          <w:sz w:val="24"/>
          <w:szCs w:val="24"/>
        </w:rPr>
        <w:t>û</w:t>
      </w:r>
      <w:r w:rsidR="00C26B41">
        <w:rPr>
          <w:sz w:val="24"/>
          <w:szCs w:val="24"/>
        </w:rPr>
        <w:t xml:space="preserve">t de formation pour chaque </w:t>
      </w:r>
      <w:r w:rsidR="00F4468A">
        <w:rPr>
          <w:sz w:val="24"/>
          <w:szCs w:val="24"/>
        </w:rPr>
        <w:t xml:space="preserve">type de </w:t>
      </w:r>
      <w:r w:rsidR="00C26B41">
        <w:rPr>
          <w:sz w:val="24"/>
          <w:szCs w:val="24"/>
        </w:rPr>
        <w:t>personnel)</w:t>
      </w:r>
    </w:p>
    <w:p w14:paraId="3FEB59FF" w14:textId="77777777" w:rsidR="003C0F03" w:rsidRDefault="003C0F03" w:rsidP="00D5699E">
      <w:pPr>
        <w:pStyle w:val="Paragraphedeliste"/>
        <w:numPr>
          <w:ilvl w:val="1"/>
          <w:numId w:val="115"/>
        </w:numPr>
        <w:jc w:val="both"/>
        <w:rPr>
          <w:sz w:val="24"/>
          <w:szCs w:val="24"/>
        </w:rPr>
      </w:pPr>
      <w:r>
        <w:rPr>
          <w:sz w:val="24"/>
          <w:szCs w:val="24"/>
        </w:rPr>
        <w:t>Références</w:t>
      </w:r>
    </w:p>
    <w:p w14:paraId="42E8695F" w14:textId="77777777" w:rsidR="003C0F03" w:rsidRDefault="003C0F03" w:rsidP="00D5699E">
      <w:pPr>
        <w:pStyle w:val="Paragraphedeliste"/>
        <w:numPr>
          <w:ilvl w:val="2"/>
          <w:numId w:val="115"/>
        </w:numPr>
        <w:jc w:val="both"/>
        <w:rPr>
          <w:sz w:val="24"/>
          <w:szCs w:val="24"/>
        </w:rPr>
      </w:pPr>
      <w:r>
        <w:rPr>
          <w:sz w:val="24"/>
          <w:szCs w:val="24"/>
        </w:rPr>
        <w:t>Tutoriel sur l’exploitation informatique des documents et données en ligne</w:t>
      </w:r>
      <w:r>
        <w:rPr>
          <w:rStyle w:val="Appelnotedebasdep"/>
          <w:sz w:val="24"/>
          <w:szCs w:val="24"/>
        </w:rPr>
        <w:footnoteReference w:id="139"/>
      </w:r>
      <w:r>
        <w:rPr>
          <w:sz w:val="24"/>
          <w:szCs w:val="24"/>
        </w:rPr>
        <w:t xml:space="preserve"> (anglais)</w:t>
      </w:r>
    </w:p>
    <w:p w14:paraId="691F4444" w14:textId="77777777" w:rsidR="003C0F03" w:rsidRDefault="003C0F03" w:rsidP="00D5699E">
      <w:pPr>
        <w:pStyle w:val="Paragraphedeliste"/>
        <w:numPr>
          <w:ilvl w:val="2"/>
          <w:numId w:val="115"/>
        </w:numPr>
        <w:jc w:val="both"/>
        <w:rPr>
          <w:sz w:val="24"/>
          <w:szCs w:val="24"/>
        </w:rPr>
      </w:pPr>
      <w:r>
        <w:rPr>
          <w:sz w:val="24"/>
          <w:szCs w:val="24"/>
        </w:rPr>
        <w:t>Anonymisation des Données</w:t>
      </w:r>
      <w:r>
        <w:rPr>
          <w:rStyle w:val="Appelnotedebasdep"/>
          <w:sz w:val="24"/>
          <w:szCs w:val="24"/>
        </w:rPr>
        <w:footnoteReference w:id="140"/>
      </w:r>
      <w:r>
        <w:rPr>
          <w:sz w:val="24"/>
          <w:szCs w:val="24"/>
        </w:rPr>
        <w:t xml:space="preserve"> (anglais)</w:t>
      </w:r>
    </w:p>
    <w:p w14:paraId="6F8ACDFA" w14:textId="77777777" w:rsidR="003C0F03" w:rsidRDefault="003C0F03" w:rsidP="00D5699E">
      <w:pPr>
        <w:pStyle w:val="Paragraphedeliste"/>
        <w:numPr>
          <w:ilvl w:val="2"/>
          <w:numId w:val="115"/>
        </w:numPr>
        <w:jc w:val="both"/>
        <w:rPr>
          <w:sz w:val="24"/>
          <w:szCs w:val="24"/>
          <w:lang w:val="en-US"/>
        </w:rPr>
      </w:pPr>
      <w:r>
        <w:rPr>
          <w:sz w:val="24"/>
          <w:szCs w:val="24"/>
          <w:lang w:val="en-US"/>
        </w:rPr>
        <w:t>Useful tools to review, refine, clean, analyze, visualize and publish data</w:t>
      </w:r>
      <w:r>
        <w:rPr>
          <w:rStyle w:val="Appelnotedebasdep"/>
          <w:sz w:val="24"/>
          <w:szCs w:val="24"/>
        </w:rPr>
        <w:footnoteReference w:id="141"/>
      </w:r>
      <w:r>
        <w:rPr>
          <w:sz w:val="24"/>
          <w:szCs w:val="24"/>
          <w:lang w:val="en-US"/>
        </w:rPr>
        <w:t xml:space="preserve"> (anglais)</w:t>
      </w:r>
    </w:p>
    <w:p w14:paraId="3B0CD187" w14:textId="557BCC7E" w:rsidR="003C0F03" w:rsidRDefault="003C0F03" w:rsidP="00D5699E">
      <w:pPr>
        <w:pStyle w:val="Paragraphedeliste"/>
        <w:numPr>
          <w:ilvl w:val="2"/>
          <w:numId w:val="115"/>
        </w:numPr>
        <w:jc w:val="both"/>
        <w:rPr>
          <w:sz w:val="24"/>
          <w:szCs w:val="24"/>
        </w:rPr>
      </w:pPr>
      <w:r>
        <w:rPr>
          <w:sz w:val="24"/>
          <w:szCs w:val="24"/>
        </w:rPr>
        <w:t>Open data Dives en Tanzanie</w:t>
      </w:r>
      <w:r>
        <w:rPr>
          <w:rStyle w:val="Appelnotedebasdep"/>
          <w:sz w:val="24"/>
          <w:szCs w:val="24"/>
        </w:rPr>
        <w:footnoteReference w:id="142"/>
      </w:r>
      <w:r>
        <w:rPr>
          <w:sz w:val="24"/>
          <w:szCs w:val="24"/>
        </w:rPr>
        <w:t xml:space="preserve"> (anglais)</w:t>
      </w:r>
    </w:p>
    <w:p w14:paraId="5EB40E24" w14:textId="77777777" w:rsidR="004C4146" w:rsidRDefault="004C4146" w:rsidP="004C4146">
      <w:pPr>
        <w:pStyle w:val="Sous-titre"/>
        <w:spacing w:before="0" w:after="0"/>
        <w:rPr>
          <w:lang w:val="fr-FR"/>
        </w:rPr>
      </w:pPr>
      <w:r>
        <w:rPr>
          <w:lang w:val="fr-FR"/>
        </w:rPr>
        <w:t xml:space="preserve">DONNEES AU SEIN DU GOUVERNEMENT, REGLEMENTATIONS ET PROCEDURES DE LA GESTION DES DONNEES GOUVERNEMENTALES </w:t>
      </w:r>
    </w:p>
    <w:p w14:paraId="3C8F5BD0" w14:textId="77777777" w:rsidR="004C4146" w:rsidRDefault="004C4146" w:rsidP="004C4146">
      <w:pPr>
        <w:spacing w:after="0"/>
      </w:pPr>
    </w:p>
    <w:p w14:paraId="25A139F1" w14:textId="6E173EE0" w:rsidR="003C0F03" w:rsidRPr="00C26B41" w:rsidRDefault="003C0F03" w:rsidP="00D5699E">
      <w:pPr>
        <w:pStyle w:val="Paragraphedeliste"/>
        <w:numPr>
          <w:ilvl w:val="0"/>
          <w:numId w:val="116"/>
        </w:numPr>
        <w:jc w:val="both"/>
        <w:rPr>
          <w:sz w:val="24"/>
          <w:szCs w:val="24"/>
        </w:rPr>
      </w:pPr>
      <w:r>
        <w:rPr>
          <w:b/>
          <w:sz w:val="24"/>
          <w:szCs w:val="24"/>
        </w:rPr>
        <w:t>Mise en place d’un inventaire de donnée</w:t>
      </w:r>
      <w:r w:rsidR="00D52F30">
        <w:rPr>
          <w:b/>
          <w:sz w:val="24"/>
          <w:szCs w:val="24"/>
        </w:rPr>
        <w:t>s</w:t>
      </w:r>
      <w:r>
        <w:rPr>
          <w:sz w:val="24"/>
          <w:szCs w:val="24"/>
        </w:rPr>
        <w:t xml:space="preserve">. </w:t>
      </w:r>
      <w:r w:rsidR="00836401">
        <w:rPr>
          <w:sz w:val="24"/>
          <w:szCs w:val="24"/>
        </w:rPr>
        <w:t xml:space="preserve">Il s’agit de faire un recensement complet des sources de données, d’établir </w:t>
      </w:r>
      <w:r w:rsidR="002B413B">
        <w:rPr>
          <w:sz w:val="24"/>
          <w:szCs w:val="24"/>
        </w:rPr>
        <w:t>les agences responsables</w:t>
      </w:r>
      <w:r w:rsidR="00836401">
        <w:rPr>
          <w:sz w:val="24"/>
          <w:szCs w:val="24"/>
        </w:rPr>
        <w:t xml:space="preserve">, la périodicité et les modalités de collecte et de mise à jour pour chaque </w:t>
      </w:r>
      <w:r w:rsidR="002B413B">
        <w:rPr>
          <w:sz w:val="24"/>
          <w:szCs w:val="24"/>
        </w:rPr>
        <w:t>jeu</w:t>
      </w:r>
      <w:r w:rsidR="00836401">
        <w:rPr>
          <w:sz w:val="24"/>
          <w:szCs w:val="24"/>
        </w:rPr>
        <w:t xml:space="preserve"> de données. Une première version pourrait être établi</w:t>
      </w:r>
      <w:r w:rsidR="00D52F30">
        <w:rPr>
          <w:sz w:val="24"/>
          <w:szCs w:val="24"/>
        </w:rPr>
        <w:t>e</w:t>
      </w:r>
      <w:r w:rsidR="00836401">
        <w:rPr>
          <w:sz w:val="24"/>
          <w:szCs w:val="24"/>
        </w:rPr>
        <w:t xml:space="preserve"> rapidement à partir des jeux de données déjà publiés. Puis cette version s’enrichirait au fur et à mesure que les agences et ministère</w:t>
      </w:r>
      <w:r w:rsidR="00D52F30">
        <w:rPr>
          <w:sz w:val="24"/>
          <w:szCs w:val="24"/>
        </w:rPr>
        <w:t>s</w:t>
      </w:r>
      <w:r w:rsidR="00836401">
        <w:rPr>
          <w:sz w:val="24"/>
          <w:szCs w:val="24"/>
        </w:rPr>
        <w:t xml:space="preserve"> rejoignent l’initiative </w:t>
      </w:r>
    </w:p>
    <w:p w14:paraId="56CEA578" w14:textId="3C853B6D" w:rsidR="003C0F03" w:rsidRDefault="003C0F03" w:rsidP="00D5699E">
      <w:pPr>
        <w:pStyle w:val="Paragraphedeliste"/>
        <w:numPr>
          <w:ilvl w:val="1"/>
          <w:numId w:val="116"/>
        </w:numPr>
        <w:jc w:val="both"/>
        <w:rPr>
          <w:sz w:val="24"/>
          <w:szCs w:val="24"/>
        </w:rPr>
      </w:pPr>
      <w:r>
        <w:rPr>
          <w:sz w:val="24"/>
          <w:szCs w:val="24"/>
        </w:rPr>
        <w:t>Responsabilité</w:t>
      </w:r>
      <w:r w:rsidR="0016796D">
        <w:rPr>
          <w:sz w:val="24"/>
          <w:szCs w:val="24"/>
        </w:rPr>
        <w:t xml:space="preserve"> </w:t>
      </w:r>
      <w:r>
        <w:rPr>
          <w:sz w:val="24"/>
          <w:szCs w:val="24"/>
        </w:rPr>
        <w:t>: CoPil</w:t>
      </w:r>
    </w:p>
    <w:p w14:paraId="50AEDABD" w14:textId="20BCD4F8" w:rsidR="003C0F03" w:rsidRDefault="003C0F03" w:rsidP="00D5699E">
      <w:pPr>
        <w:pStyle w:val="Paragraphedeliste"/>
        <w:numPr>
          <w:ilvl w:val="1"/>
          <w:numId w:val="116"/>
        </w:numPr>
        <w:jc w:val="both"/>
        <w:rPr>
          <w:sz w:val="24"/>
          <w:szCs w:val="24"/>
        </w:rPr>
      </w:pPr>
      <w:r>
        <w:rPr>
          <w:sz w:val="24"/>
          <w:szCs w:val="24"/>
        </w:rPr>
        <w:t>Temps requis</w:t>
      </w:r>
      <w:r w:rsidR="0016796D">
        <w:rPr>
          <w:sz w:val="24"/>
          <w:szCs w:val="24"/>
        </w:rPr>
        <w:t xml:space="preserve"> </w:t>
      </w:r>
      <w:r>
        <w:rPr>
          <w:sz w:val="24"/>
          <w:szCs w:val="24"/>
        </w:rPr>
        <w:t>: 3 mois pour la première version</w:t>
      </w:r>
    </w:p>
    <w:p w14:paraId="5F0A5EF2" w14:textId="7C561BCE" w:rsidR="003C0F03" w:rsidRDefault="003C0F03" w:rsidP="00D5699E">
      <w:pPr>
        <w:pStyle w:val="Paragraphedeliste"/>
        <w:numPr>
          <w:ilvl w:val="1"/>
          <w:numId w:val="116"/>
        </w:numPr>
        <w:jc w:val="both"/>
        <w:rPr>
          <w:sz w:val="24"/>
          <w:szCs w:val="24"/>
        </w:rPr>
      </w:pPr>
      <w:r>
        <w:rPr>
          <w:sz w:val="24"/>
          <w:szCs w:val="24"/>
        </w:rPr>
        <w:t>Co</w:t>
      </w:r>
      <w:r w:rsidR="00B45D25">
        <w:rPr>
          <w:sz w:val="24"/>
          <w:szCs w:val="24"/>
        </w:rPr>
        <w:t>û</w:t>
      </w:r>
      <w:r>
        <w:rPr>
          <w:sz w:val="24"/>
          <w:szCs w:val="24"/>
        </w:rPr>
        <w:t>t</w:t>
      </w:r>
      <w:r w:rsidR="0016796D">
        <w:rPr>
          <w:sz w:val="24"/>
          <w:szCs w:val="24"/>
        </w:rPr>
        <w:t xml:space="preserve"> </w:t>
      </w:r>
      <w:r>
        <w:rPr>
          <w:sz w:val="24"/>
          <w:szCs w:val="24"/>
        </w:rPr>
        <w:t>: 25-35k pour l’utilisation de consultant</w:t>
      </w:r>
      <w:r w:rsidR="00D52F30">
        <w:rPr>
          <w:sz w:val="24"/>
          <w:szCs w:val="24"/>
        </w:rPr>
        <w:t>s</w:t>
      </w:r>
      <w:r>
        <w:rPr>
          <w:sz w:val="24"/>
          <w:szCs w:val="24"/>
        </w:rPr>
        <w:t xml:space="preserve"> pour la définition de l’architecture, d’une méthodologie et du développement de la première version de l’inventaire avec les Ministères Pilotes</w:t>
      </w:r>
    </w:p>
    <w:p w14:paraId="2BE96566" w14:textId="5787E801" w:rsidR="003C0F03" w:rsidRDefault="003C0F03" w:rsidP="00D5699E">
      <w:pPr>
        <w:pStyle w:val="Paragraphedeliste"/>
        <w:numPr>
          <w:ilvl w:val="1"/>
          <w:numId w:val="116"/>
        </w:numPr>
        <w:jc w:val="both"/>
        <w:rPr>
          <w:sz w:val="24"/>
          <w:szCs w:val="24"/>
        </w:rPr>
      </w:pPr>
      <w:r>
        <w:rPr>
          <w:sz w:val="24"/>
          <w:szCs w:val="24"/>
        </w:rPr>
        <w:t>Références : cf. Annexe D pour une proposition d’approche</w:t>
      </w:r>
    </w:p>
    <w:p w14:paraId="13DC48CE" w14:textId="77777777" w:rsidR="0016796D" w:rsidRDefault="0016796D" w:rsidP="0016796D">
      <w:pPr>
        <w:pStyle w:val="Paragraphedeliste"/>
        <w:ind w:left="1440"/>
        <w:jc w:val="both"/>
        <w:rPr>
          <w:sz w:val="24"/>
          <w:szCs w:val="24"/>
        </w:rPr>
      </w:pPr>
    </w:p>
    <w:p w14:paraId="3B90487C" w14:textId="3E1B0BCA" w:rsidR="00836401" w:rsidRDefault="00836401" w:rsidP="00D5699E">
      <w:pPr>
        <w:pStyle w:val="Paragraphedeliste"/>
        <w:numPr>
          <w:ilvl w:val="0"/>
          <w:numId w:val="116"/>
        </w:numPr>
        <w:jc w:val="both"/>
        <w:rPr>
          <w:b/>
          <w:sz w:val="24"/>
          <w:szCs w:val="24"/>
        </w:rPr>
      </w:pPr>
      <w:r>
        <w:rPr>
          <w:b/>
          <w:sz w:val="24"/>
          <w:szCs w:val="24"/>
        </w:rPr>
        <w:t xml:space="preserve">Mise en place d’un référentiel de données commun au sein du gouvernement. </w:t>
      </w:r>
      <w:r>
        <w:rPr>
          <w:sz w:val="24"/>
          <w:szCs w:val="24"/>
        </w:rPr>
        <w:t>Il s’agit de définir des identifiants uniques pour les éléments partagés entre agences (identifiants pour les bâtiments publics comme les écoles, les centre de santé etc., identifiant</w:t>
      </w:r>
      <w:r w:rsidR="00D52F30">
        <w:rPr>
          <w:sz w:val="24"/>
          <w:szCs w:val="24"/>
        </w:rPr>
        <w:t>s</w:t>
      </w:r>
      <w:r>
        <w:rPr>
          <w:sz w:val="24"/>
          <w:szCs w:val="24"/>
        </w:rPr>
        <w:t xml:space="preserve"> unique</w:t>
      </w:r>
      <w:r w:rsidR="00D52F30">
        <w:rPr>
          <w:sz w:val="24"/>
          <w:szCs w:val="24"/>
        </w:rPr>
        <w:t>s</w:t>
      </w:r>
      <w:r>
        <w:rPr>
          <w:sz w:val="24"/>
          <w:szCs w:val="24"/>
        </w:rPr>
        <w:t xml:space="preserve"> pour les lieux géographiques, etc.). L’INS dispose déjà d’un embryon d’un tel référentiel pour l’appareillage des données qui pourrait servir de point de départ de cette activité </w:t>
      </w:r>
    </w:p>
    <w:p w14:paraId="293986DA" w14:textId="5DC001B8" w:rsidR="00836401" w:rsidRDefault="00836401" w:rsidP="00D5699E">
      <w:pPr>
        <w:pStyle w:val="Paragraphedeliste"/>
        <w:numPr>
          <w:ilvl w:val="1"/>
          <w:numId w:val="116"/>
        </w:numPr>
        <w:jc w:val="both"/>
        <w:rPr>
          <w:sz w:val="24"/>
          <w:szCs w:val="24"/>
        </w:rPr>
      </w:pPr>
      <w:r>
        <w:rPr>
          <w:sz w:val="24"/>
          <w:szCs w:val="24"/>
        </w:rPr>
        <w:t>Responsabilité : CoPil  + groupe de travail dirig</w:t>
      </w:r>
      <w:r w:rsidR="00895E17">
        <w:rPr>
          <w:sz w:val="24"/>
          <w:szCs w:val="24"/>
        </w:rPr>
        <w:t xml:space="preserve">é </w:t>
      </w:r>
      <w:r>
        <w:rPr>
          <w:sz w:val="24"/>
          <w:szCs w:val="24"/>
        </w:rPr>
        <w:t>par l’INS</w:t>
      </w:r>
    </w:p>
    <w:p w14:paraId="1EF72FD1" w14:textId="0F7F8127" w:rsidR="00836401" w:rsidRDefault="00836401" w:rsidP="00D5699E">
      <w:pPr>
        <w:pStyle w:val="Paragraphedeliste"/>
        <w:numPr>
          <w:ilvl w:val="1"/>
          <w:numId w:val="116"/>
        </w:numPr>
        <w:jc w:val="both"/>
        <w:rPr>
          <w:sz w:val="24"/>
          <w:szCs w:val="24"/>
        </w:rPr>
      </w:pPr>
      <w:r>
        <w:rPr>
          <w:sz w:val="24"/>
          <w:szCs w:val="24"/>
        </w:rPr>
        <w:t>Temps Requis</w:t>
      </w:r>
      <w:r w:rsidR="0016796D">
        <w:rPr>
          <w:sz w:val="24"/>
          <w:szCs w:val="24"/>
        </w:rPr>
        <w:t xml:space="preserve"> </w:t>
      </w:r>
      <w:r>
        <w:rPr>
          <w:sz w:val="24"/>
          <w:szCs w:val="24"/>
        </w:rPr>
        <w:t>: 6-12 mois</w:t>
      </w:r>
    </w:p>
    <w:p w14:paraId="0BF21782" w14:textId="3C3E2478" w:rsidR="00836401" w:rsidRDefault="00836401" w:rsidP="00D5699E">
      <w:pPr>
        <w:pStyle w:val="Paragraphedeliste"/>
        <w:numPr>
          <w:ilvl w:val="1"/>
          <w:numId w:val="116"/>
        </w:numPr>
        <w:jc w:val="both"/>
        <w:rPr>
          <w:sz w:val="24"/>
          <w:szCs w:val="24"/>
        </w:rPr>
      </w:pPr>
      <w:r>
        <w:rPr>
          <w:sz w:val="24"/>
          <w:szCs w:val="24"/>
        </w:rPr>
        <w:t>Co</w:t>
      </w:r>
      <w:r w:rsidR="00B45D25">
        <w:rPr>
          <w:sz w:val="24"/>
          <w:szCs w:val="24"/>
        </w:rPr>
        <w:t>û</w:t>
      </w:r>
      <w:r>
        <w:rPr>
          <w:sz w:val="24"/>
          <w:szCs w:val="24"/>
        </w:rPr>
        <w:t>t</w:t>
      </w:r>
      <w:r w:rsidR="0016796D">
        <w:rPr>
          <w:sz w:val="24"/>
          <w:szCs w:val="24"/>
        </w:rPr>
        <w:t xml:space="preserve"> </w:t>
      </w:r>
      <w:r>
        <w:rPr>
          <w:sz w:val="24"/>
          <w:szCs w:val="24"/>
        </w:rPr>
        <w:t>: Les co</w:t>
      </w:r>
      <w:r w:rsidR="00B45D25">
        <w:rPr>
          <w:sz w:val="24"/>
          <w:szCs w:val="24"/>
        </w:rPr>
        <w:t>û</w:t>
      </w:r>
      <w:r>
        <w:rPr>
          <w:sz w:val="24"/>
          <w:szCs w:val="24"/>
        </w:rPr>
        <w:t>ts de mises en œuvre sont faibles mais nécessitent une importante coopération au sein de toutes les agences. Il conviendra cependant que les chargés d’Open Data soient formés à ce sujet et soi</w:t>
      </w:r>
      <w:r w:rsidR="00D52F30">
        <w:rPr>
          <w:sz w:val="24"/>
          <w:szCs w:val="24"/>
        </w:rPr>
        <w:t>en</w:t>
      </w:r>
      <w:r>
        <w:rPr>
          <w:sz w:val="24"/>
          <w:szCs w:val="24"/>
        </w:rPr>
        <w:t>t en charge de contribuer à ce référentiel et de son évolution dans le temps.</w:t>
      </w:r>
    </w:p>
    <w:p w14:paraId="23368474" w14:textId="6C340C8C" w:rsidR="001B30DA" w:rsidRPr="00C26B41" w:rsidRDefault="001B30DA" w:rsidP="00D5699E">
      <w:pPr>
        <w:pStyle w:val="Paragraphedeliste"/>
        <w:numPr>
          <w:ilvl w:val="0"/>
          <w:numId w:val="116"/>
        </w:numPr>
        <w:jc w:val="both"/>
        <w:rPr>
          <w:sz w:val="24"/>
          <w:szCs w:val="24"/>
        </w:rPr>
      </w:pPr>
      <w:r>
        <w:rPr>
          <w:b/>
          <w:sz w:val="24"/>
          <w:szCs w:val="24"/>
        </w:rPr>
        <w:t>Développement de cas d’usages internes</w:t>
      </w:r>
      <w:r>
        <w:rPr>
          <w:sz w:val="24"/>
          <w:szCs w:val="24"/>
        </w:rPr>
        <w:t xml:space="preserve"> </w:t>
      </w:r>
      <w:r w:rsidR="00836401">
        <w:rPr>
          <w:sz w:val="24"/>
          <w:szCs w:val="24"/>
        </w:rPr>
        <w:t>L’objectif serait de développer un ensemble de cas d’usage</w:t>
      </w:r>
      <w:r w:rsidR="00D52F30">
        <w:rPr>
          <w:sz w:val="24"/>
          <w:szCs w:val="24"/>
        </w:rPr>
        <w:t>s</w:t>
      </w:r>
      <w:r w:rsidR="00836401">
        <w:rPr>
          <w:sz w:val="24"/>
          <w:szCs w:val="24"/>
        </w:rPr>
        <w:t xml:space="preserve"> et d’exemples qui montreraient le potentiel et la valeur de l’exploitation des données publiées.  </w:t>
      </w:r>
    </w:p>
    <w:p w14:paraId="7D841C32" w14:textId="696EB45F" w:rsidR="001B30DA" w:rsidRDefault="001B30DA" w:rsidP="00D5699E">
      <w:pPr>
        <w:pStyle w:val="Paragraphedeliste"/>
        <w:numPr>
          <w:ilvl w:val="1"/>
          <w:numId w:val="116"/>
        </w:numPr>
        <w:jc w:val="both"/>
        <w:rPr>
          <w:sz w:val="24"/>
          <w:szCs w:val="24"/>
        </w:rPr>
      </w:pPr>
      <w:r>
        <w:rPr>
          <w:sz w:val="24"/>
          <w:szCs w:val="24"/>
        </w:rPr>
        <w:t>Responsabilité</w:t>
      </w:r>
      <w:r w:rsidR="0016796D">
        <w:rPr>
          <w:sz w:val="24"/>
          <w:szCs w:val="24"/>
        </w:rPr>
        <w:t xml:space="preserve"> </w:t>
      </w:r>
      <w:r>
        <w:rPr>
          <w:sz w:val="24"/>
          <w:szCs w:val="24"/>
        </w:rPr>
        <w:t xml:space="preserve">: CoPil </w:t>
      </w:r>
      <w:r w:rsidR="00836401">
        <w:rPr>
          <w:sz w:val="24"/>
          <w:szCs w:val="24"/>
        </w:rPr>
        <w:t>+</w:t>
      </w:r>
      <w:r>
        <w:rPr>
          <w:sz w:val="24"/>
          <w:szCs w:val="24"/>
        </w:rPr>
        <w:t xml:space="preserve"> Equipe Technique</w:t>
      </w:r>
    </w:p>
    <w:p w14:paraId="503AA3FF" w14:textId="1C928057" w:rsidR="001B30DA" w:rsidRDefault="00E67F47" w:rsidP="00D5699E">
      <w:pPr>
        <w:pStyle w:val="Paragraphedeliste"/>
        <w:numPr>
          <w:ilvl w:val="1"/>
          <w:numId w:val="116"/>
        </w:numPr>
        <w:jc w:val="both"/>
        <w:rPr>
          <w:sz w:val="24"/>
          <w:szCs w:val="24"/>
        </w:rPr>
      </w:pPr>
      <w:r>
        <w:rPr>
          <w:sz w:val="24"/>
          <w:szCs w:val="24"/>
        </w:rPr>
        <w:t>Temps requis</w:t>
      </w:r>
      <w:r w:rsidR="0016796D">
        <w:rPr>
          <w:sz w:val="24"/>
          <w:szCs w:val="24"/>
        </w:rPr>
        <w:t xml:space="preserve"> </w:t>
      </w:r>
      <w:r>
        <w:rPr>
          <w:sz w:val="24"/>
          <w:szCs w:val="24"/>
        </w:rPr>
        <w:t>: 2</w:t>
      </w:r>
      <w:r w:rsidR="001B30DA">
        <w:rPr>
          <w:sz w:val="24"/>
          <w:szCs w:val="24"/>
        </w:rPr>
        <w:t xml:space="preserve"> mois</w:t>
      </w:r>
      <w:r>
        <w:rPr>
          <w:sz w:val="24"/>
          <w:szCs w:val="24"/>
        </w:rPr>
        <w:t>/cas</w:t>
      </w:r>
    </w:p>
    <w:p w14:paraId="5B75A9A5" w14:textId="24E9A610" w:rsidR="003C0F03" w:rsidRPr="00836401" w:rsidRDefault="001B30DA" w:rsidP="00D5699E">
      <w:pPr>
        <w:pStyle w:val="Paragraphedeliste"/>
        <w:numPr>
          <w:ilvl w:val="1"/>
          <w:numId w:val="116"/>
        </w:numPr>
        <w:jc w:val="both"/>
        <w:rPr>
          <w:sz w:val="24"/>
          <w:szCs w:val="24"/>
        </w:rPr>
      </w:pPr>
      <w:r>
        <w:rPr>
          <w:sz w:val="24"/>
          <w:szCs w:val="24"/>
        </w:rPr>
        <w:t>Co</w:t>
      </w:r>
      <w:r w:rsidR="00B45D25">
        <w:rPr>
          <w:sz w:val="24"/>
          <w:szCs w:val="24"/>
        </w:rPr>
        <w:t>û</w:t>
      </w:r>
      <w:r>
        <w:rPr>
          <w:sz w:val="24"/>
          <w:szCs w:val="24"/>
        </w:rPr>
        <w:t>t</w:t>
      </w:r>
      <w:r w:rsidR="0016796D">
        <w:rPr>
          <w:sz w:val="24"/>
          <w:szCs w:val="24"/>
        </w:rPr>
        <w:t xml:space="preserve"> </w:t>
      </w:r>
      <w:r>
        <w:rPr>
          <w:sz w:val="24"/>
          <w:szCs w:val="24"/>
        </w:rPr>
        <w:t xml:space="preserve">: </w:t>
      </w:r>
      <w:r w:rsidR="000620EA">
        <w:rPr>
          <w:sz w:val="24"/>
          <w:szCs w:val="24"/>
        </w:rPr>
        <w:t xml:space="preserve">Appui d’un consultant pour la construction des cas d’usage : environ 10-20k/cas </w:t>
      </w:r>
    </w:p>
    <w:p w14:paraId="2EC9A610" w14:textId="09BF6535" w:rsidR="004C4146" w:rsidRDefault="004C4146" w:rsidP="004C4146">
      <w:pPr>
        <w:pStyle w:val="Sous-titre"/>
        <w:spacing w:before="0" w:after="0" w:line="276" w:lineRule="auto"/>
        <w:rPr>
          <w:lang w:val="fr-FR"/>
        </w:rPr>
      </w:pPr>
      <w:r>
        <w:rPr>
          <w:lang w:val="fr-FR"/>
        </w:rPr>
        <w:t>DEMANDE CONCERNANT L’OUVERTURE DES DONNEES PUBLIQUES &amp; ENGAGEMENT CITOYEN ET CAPACITES CONCERNANT LES DONNEES PUBLIQUES</w:t>
      </w:r>
    </w:p>
    <w:p w14:paraId="7DB5D8B9" w14:textId="1D8C3B72" w:rsidR="004C4146" w:rsidRDefault="004C4146" w:rsidP="00D5699E">
      <w:pPr>
        <w:pStyle w:val="Paragraphedeliste"/>
        <w:numPr>
          <w:ilvl w:val="0"/>
          <w:numId w:val="115"/>
        </w:numPr>
        <w:jc w:val="both"/>
        <w:rPr>
          <w:sz w:val="24"/>
          <w:szCs w:val="24"/>
        </w:rPr>
      </w:pPr>
      <w:r>
        <w:rPr>
          <w:b/>
          <w:sz w:val="24"/>
          <w:szCs w:val="24"/>
        </w:rPr>
        <w:t xml:space="preserve">Création d’un </w:t>
      </w:r>
      <w:r w:rsidR="00BB21F4">
        <w:rPr>
          <w:b/>
          <w:sz w:val="24"/>
          <w:szCs w:val="24"/>
        </w:rPr>
        <w:t>comité mixte entre le CoPil et les</w:t>
      </w:r>
      <w:r>
        <w:rPr>
          <w:b/>
          <w:sz w:val="24"/>
          <w:szCs w:val="24"/>
        </w:rPr>
        <w:t xml:space="preserve"> acteurs non-gouvernementaux. </w:t>
      </w:r>
      <w:r>
        <w:rPr>
          <w:sz w:val="24"/>
          <w:szCs w:val="24"/>
        </w:rPr>
        <w:t>Ce groupe rassemble</w:t>
      </w:r>
      <w:r w:rsidR="00BB21F4">
        <w:rPr>
          <w:sz w:val="24"/>
          <w:szCs w:val="24"/>
        </w:rPr>
        <w:t>ra</w:t>
      </w:r>
      <w:r>
        <w:rPr>
          <w:sz w:val="24"/>
          <w:szCs w:val="24"/>
        </w:rPr>
        <w:t xml:space="preserve"> des membres du </w:t>
      </w:r>
      <w:r w:rsidR="00BB21F4">
        <w:rPr>
          <w:sz w:val="24"/>
          <w:szCs w:val="24"/>
        </w:rPr>
        <w:t>CoPil</w:t>
      </w:r>
      <w:r>
        <w:rPr>
          <w:sz w:val="24"/>
          <w:szCs w:val="24"/>
        </w:rPr>
        <w:t xml:space="preserve"> et des acteurs non-étatiques. </w:t>
      </w:r>
      <w:r w:rsidR="00BB21F4">
        <w:rPr>
          <w:sz w:val="24"/>
          <w:szCs w:val="24"/>
        </w:rPr>
        <w:t xml:space="preserve">Ce groupe serait composé </w:t>
      </w:r>
      <w:r w:rsidR="002B413B">
        <w:rPr>
          <w:sz w:val="24"/>
          <w:szCs w:val="24"/>
        </w:rPr>
        <w:t>d’un</w:t>
      </w:r>
      <w:r w:rsidR="00BB21F4">
        <w:rPr>
          <w:sz w:val="24"/>
          <w:szCs w:val="24"/>
        </w:rPr>
        <w:t xml:space="preserve"> ou </w:t>
      </w:r>
      <w:r>
        <w:rPr>
          <w:sz w:val="24"/>
          <w:szCs w:val="24"/>
        </w:rPr>
        <w:t>plusieurs membres du C</w:t>
      </w:r>
      <w:r w:rsidR="00BB21F4">
        <w:rPr>
          <w:sz w:val="24"/>
          <w:szCs w:val="24"/>
        </w:rPr>
        <w:t>o</w:t>
      </w:r>
      <w:r>
        <w:rPr>
          <w:sz w:val="24"/>
          <w:szCs w:val="24"/>
        </w:rPr>
        <w:t>P</w:t>
      </w:r>
      <w:r w:rsidR="00BB21F4">
        <w:rPr>
          <w:sz w:val="24"/>
          <w:szCs w:val="24"/>
        </w:rPr>
        <w:t>il</w:t>
      </w:r>
      <w:r>
        <w:rPr>
          <w:sz w:val="24"/>
          <w:szCs w:val="24"/>
        </w:rPr>
        <w:t xml:space="preserve"> et </w:t>
      </w:r>
      <w:r w:rsidR="00D52F30">
        <w:rPr>
          <w:sz w:val="24"/>
          <w:szCs w:val="24"/>
        </w:rPr>
        <w:t>d’</w:t>
      </w:r>
      <w:r>
        <w:rPr>
          <w:sz w:val="24"/>
          <w:szCs w:val="24"/>
        </w:rPr>
        <w:t xml:space="preserve">au moins un représentant des acteurs de la société civile, des journalistes et </w:t>
      </w:r>
      <w:r w:rsidR="002B413B">
        <w:rPr>
          <w:sz w:val="24"/>
          <w:szCs w:val="24"/>
        </w:rPr>
        <w:t>des médias</w:t>
      </w:r>
      <w:r>
        <w:rPr>
          <w:sz w:val="24"/>
          <w:szCs w:val="24"/>
        </w:rPr>
        <w:t xml:space="preserve">, des chercheurs et du monde académique, de la communauté des développeurs informatiques, et du secteur privé des TIC. Le rôle de ce groupe de travail sera de coordonner les activités ciblant les acteurs non-étatiques, </w:t>
      </w:r>
      <w:r w:rsidR="00D52F30">
        <w:rPr>
          <w:sz w:val="24"/>
          <w:szCs w:val="24"/>
        </w:rPr>
        <w:t xml:space="preserve">de </w:t>
      </w:r>
      <w:r>
        <w:rPr>
          <w:sz w:val="24"/>
          <w:szCs w:val="24"/>
        </w:rPr>
        <w:t>coordonner la publication des jeux de données en fonction des demandes, et d’identifier les défis à résoudre et la stratégie nationale pour le développement de l’écosystème Open Data à adopter.</w:t>
      </w:r>
    </w:p>
    <w:p w14:paraId="2217C9D3" w14:textId="391B16B6" w:rsidR="004C4146" w:rsidRDefault="004C4146" w:rsidP="00D5699E">
      <w:pPr>
        <w:pStyle w:val="Paragraphedeliste"/>
        <w:numPr>
          <w:ilvl w:val="1"/>
          <w:numId w:val="115"/>
        </w:numPr>
        <w:jc w:val="both"/>
        <w:rPr>
          <w:sz w:val="24"/>
          <w:szCs w:val="24"/>
        </w:rPr>
      </w:pPr>
      <w:r>
        <w:rPr>
          <w:sz w:val="24"/>
          <w:szCs w:val="24"/>
        </w:rPr>
        <w:t>Responsabilité</w:t>
      </w:r>
      <w:r w:rsidR="0016796D">
        <w:rPr>
          <w:sz w:val="24"/>
          <w:szCs w:val="24"/>
        </w:rPr>
        <w:t xml:space="preserve"> </w:t>
      </w:r>
      <w:r>
        <w:rPr>
          <w:sz w:val="24"/>
          <w:szCs w:val="24"/>
        </w:rPr>
        <w:t>: C</w:t>
      </w:r>
      <w:r w:rsidR="00BB21F4">
        <w:rPr>
          <w:sz w:val="24"/>
          <w:szCs w:val="24"/>
        </w:rPr>
        <w:t>o</w:t>
      </w:r>
      <w:r>
        <w:rPr>
          <w:sz w:val="24"/>
          <w:szCs w:val="24"/>
        </w:rPr>
        <w:t>P</w:t>
      </w:r>
      <w:r w:rsidR="00BB21F4">
        <w:rPr>
          <w:sz w:val="24"/>
          <w:szCs w:val="24"/>
        </w:rPr>
        <w:t>il</w:t>
      </w:r>
    </w:p>
    <w:p w14:paraId="05A656C2" w14:textId="4739B72F" w:rsidR="004C4146" w:rsidRDefault="004C4146" w:rsidP="00D5699E">
      <w:pPr>
        <w:pStyle w:val="Paragraphedeliste"/>
        <w:numPr>
          <w:ilvl w:val="1"/>
          <w:numId w:val="115"/>
        </w:numPr>
        <w:jc w:val="both"/>
        <w:rPr>
          <w:sz w:val="24"/>
          <w:szCs w:val="24"/>
        </w:rPr>
      </w:pPr>
      <w:r>
        <w:rPr>
          <w:sz w:val="24"/>
          <w:szCs w:val="24"/>
        </w:rPr>
        <w:t>Temps requis</w:t>
      </w:r>
      <w:r w:rsidR="0016796D">
        <w:rPr>
          <w:sz w:val="24"/>
          <w:szCs w:val="24"/>
        </w:rPr>
        <w:t xml:space="preserve"> </w:t>
      </w:r>
      <w:r>
        <w:rPr>
          <w:sz w:val="24"/>
          <w:szCs w:val="24"/>
        </w:rPr>
        <w:t xml:space="preserve">: </w:t>
      </w:r>
      <w:r w:rsidR="000C2CDA">
        <w:rPr>
          <w:sz w:val="24"/>
          <w:szCs w:val="24"/>
        </w:rPr>
        <w:t>1-2</w:t>
      </w:r>
      <w:r>
        <w:rPr>
          <w:sz w:val="24"/>
          <w:szCs w:val="24"/>
        </w:rPr>
        <w:t xml:space="preserve"> mois</w:t>
      </w:r>
    </w:p>
    <w:p w14:paraId="595AFF4E" w14:textId="1C69B50D" w:rsidR="004C4146" w:rsidRDefault="004C4146" w:rsidP="00D5699E">
      <w:pPr>
        <w:pStyle w:val="Paragraphedeliste"/>
        <w:numPr>
          <w:ilvl w:val="1"/>
          <w:numId w:val="115"/>
        </w:numPr>
        <w:jc w:val="both"/>
        <w:rPr>
          <w:sz w:val="24"/>
          <w:szCs w:val="24"/>
        </w:rPr>
      </w:pPr>
      <w:r>
        <w:rPr>
          <w:sz w:val="24"/>
          <w:szCs w:val="24"/>
        </w:rPr>
        <w:t>Co</w:t>
      </w:r>
      <w:r w:rsidR="00B45D25">
        <w:rPr>
          <w:sz w:val="24"/>
          <w:szCs w:val="24"/>
        </w:rPr>
        <w:t>û</w:t>
      </w:r>
      <w:r>
        <w:rPr>
          <w:sz w:val="24"/>
          <w:szCs w:val="24"/>
        </w:rPr>
        <w:t>t</w:t>
      </w:r>
      <w:r w:rsidR="0016796D">
        <w:rPr>
          <w:sz w:val="24"/>
          <w:szCs w:val="24"/>
        </w:rPr>
        <w:t xml:space="preserve"> </w:t>
      </w:r>
      <w:r>
        <w:rPr>
          <w:sz w:val="24"/>
          <w:szCs w:val="24"/>
        </w:rPr>
        <w:t>: les co</w:t>
      </w:r>
      <w:r w:rsidR="00B45D25">
        <w:rPr>
          <w:sz w:val="24"/>
          <w:szCs w:val="24"/>
        </w:rPr>
        <w:t>û</w:t>
      </w:r>
      <w:r>
        <w:rPr>
          <w:sz w:val="24"/>
          <w:szCs w:val="24"/>
        </w:rPr>
        <w:t xml:space="preserve">ts engendrés sont uniquement pour la logistique, les membres du groupe de travail ne sont généralement pas rémunérés </w:t>
      </w:r>
    </w:p>
    <w:p w14:paraId="13014155" w14:textId="77777777" w:rsidR="004C4146" w:rsidRDefault="004C4146" w:rsidP="00D5699E">
      <w:pPr>
        <w:pStyle w:val="Paragraphedeliste"/>
        <w:numPr>
          <w:ilvl w:val="1"/>
          <w:numId w:val="115"/>
        </w:numPr>
        <w:jc w:val="both"/>
        <w:rPr>
          <w:sz w:val="24"/>
          <w:szCs w:val="24"/>
        </w:rPr>
      </w:pPr>
      <w:r>
        <w:rPr>
          <w:sz w:val="24"/>
          <w:szCs w:val="24"/>
        </w:rPr>
        <w:t>Référence :</w:t>
      </w:r>
    </w:p>
    <w:p w14:paraId="3234263B" w14:textId="77777777" w:rsidR="004C4146" w:rsidRDefault="004C4146" w:rsidP="00D5699E">
      <w:pPr>
        <w:pStyle w:val="Paragraphedeliste"/>
        <w:numPr>
          <w:ilvl w:val="2"/>
          <w:numId w:val="115"/>
        </w:numPr>
        <w:jc w:val="both"/>
        <w:rPr>
          <w:sz w:val="24"/>
          <w:szCs w:val="24"/>
        </w:rPr>
      </w:pPr>
      <w:r>
        <w:rPr>
          <w:sz w:val="24"/>
          <w:szCs w:val="24"/>
        </w:rPr>
        <w:t>Comité en charge de la transparence du secteur public (Royaume-Uni)</w:t>
      </w:r>
      <w:r>
        <w:rPr>
          <w:rStyle w:val="Appelnotedebasdep"/>
          <w:sz w:val="24"/>
          <w:szCs w:val="24"/>
        </w:rPr>
        <w:footnoteReference w:id="143"/>
      </w:r>
    </w:p>
    <w:p w14:paraId="15AB82CC" w14:textId="77777777" w:rsidR="004C4146" w:rsidRPr="00F1019D" w:rsidRDefault="004C4146" w:rsidP="004C4146">
      <w:pPr>
        <w:pStyle w:val="Paragraphedeliste"/>
        <w:ind w:left="2160"/>
        <w:jc w:val="both"/>
        <w:rPr>
          <w:sz w:val="16"/>
          <w:szCs w:val="16"/>
        </w:rPr>
      </w:pPr>
    </w:p>
    <w:p w14:paraId="1B0A6EDC" w14:textId="1592484F" w:rsidR="004C4146" w:rsidRDefault="004C4146" w:rsidP="00D5699E">
      <w:pPr>
        <w:pStyle w:val="Paragraphedeliste"/>
        <w:numPr>
          <w:ilvl w:val="0"/>
          <w:numId w:val="115"/>
        </w:numPr>
        <w:jc w:val="both"/>
        <w:rPr>
          <w:sz w:val="24"/>
          <w:szCs w:val="24"/>
        </w:rPr>
      </w:pPr>
      <w:r>
        <w:rPr>
          <w:b/>
          <w:sz w:val="24"/>
          <w:szCs w:val="24"/>
        </w:rPr>
        <w:t>Organisation d’événement</w:t>
      </w:r>
      <w:r w:rsidR="00F72866">
        <w:rPr>
          <w:b/>
          <w:sz w:val="24"/>
          <w:szCs w:val="24"/>
        </w:rPr>
        <w:t>s</w:t>
      </w:r>
      <w:r>
        <w:rPr>
          <w:b/>
          <w:sz w:val="24"/>
          <w:szCs w:val="24"/>
        </w:rPr>
        <w:t xml:space="preserve"> type « hackathon</w:t>
      </w:r>
      <w:r w:rsidR="00F72866">
        <w:rPr>
          <w:b/>
          <w:sz w:val="24"/>
          <w:szCs w:val="24"/>
        </w:rPr>
        <w:t>s</w:t>
      </w:r>
      <w:r>
        <w:rPr>
          <w:b/>
          <w:sz w:val="24"/>
          <w:szCs w:val="24"/>
        </w:rPr>
        <w:t> »</w:t>
      </w:r>
      <w:r>
        <w:rPr>
          <w:rStyle w:val="Appelnotedebasdep"/>
          <w:b/>
          <w:sz w:val="24"/>
          <w:szCs w:val="24"/>
        </w:rPr>
        <w:footnoteReference w:id="144"/>
      </w:r>
      <w:r>
        <w:rPr>
          <w:b/>
          <w:sz w:val="24"/>
          <w:szCs w:val="24"/>
        </w:rPr>
        <w:t xml:space="preserve"> réunissant à la fois des producteurs de données, et différents groupes d’acteurs non-</w:t>
      </w:r>
      <w:r w:rsidR="002B413B">
        <w:rPr>
          <w:b/>
          <w:sz w:val="24"/>
          <w:szCs w:val="24"/>
        </w:rPr>
        <w:t>gouvernementaux</w:t>
      </w:r>
      <w:r>
        <w:rPr>
          <w:b/>
          <w:sz w:val="24"/>
          <w:szCs w:val="24"/>
        </w:rPr>
        <w:t xml:space="preserve"> </w:t>
      </w:r>
      <w:r w:rsidR="00BB21F4">
        <w:rPr>
          <w:b/>
          <w:sz w:val="24"/>
          <w:szCs w:val="24"/>
        </w:rPr>
        <w:t>pour générer un ensemble de cas d’usage qui serv</w:t>
      </w:r>
      <w:r w:rsidR="00D52F30">
        <w:rPr>
          <w:b/>
          <w:sz w:val="24"/>
          <w:szCs w:val="24"/>
        </w:rPr>
        <w:t>iron</w:t>
      </w:r>
      <w:r w:rsidR="00BB21F4">
        <w:rPr>
          <w:b/>
          <w:sz w:val="24"/>
          <w:szCs w:val="24"/>
        </w:rPr>
        <w:t>t de modèles et génère</w:t>
      </w:r>
      <w:r w:rsidR="00D52F30">
        <w:rPr>
          <w:b/>
          <w:sz w:val="24"/>
          <w:szCs w:val="24"/>
        </w:rPr>
        <w:t>ron</w:t>
      </w:r>
      <w:r w:rsidR="00BB21F4">
        <w:rPr>
          <w:b/>
          <w:sz w:val="24"/>
          <w:szCs w:val="24"/>
        </w:rPr>
        <w:t>t de la motivation à la fois pour les agences publiant les données et pour les acteurs non-gouvernementaux</w:t>
      </w:r>
      <w:r>
        <w:rPr>
          <w:sz w:val="24"/>
          <w:szCs w:val="24"/>
        </w:rPr>
        <w:t xml:space="preserve">. L’objectif de </w:t>
      </w:r>
      <w:r w:rsidR="00BB21F4">
        <w:rPr>
          <w:sz w:val="24"/>
          <w:szCs w:val="24"/>
        </w:rPr>
        <w:t>c</w:t>
      </w:r>
      <w:r>
        <w:rPr>
          <w:sz w:val="24"/>
          <w:szCs w:val="24"/>
        </w:rPr>
        <w:t>e type d’événement</w:t>
      </w:r>
      <w:r w:rsidR="00F72866">
        <w:rPr>
          <w:sz w:val="24"/>
          <w:szCs w:val="24"/>
        </w:rPr>
        <w:t>s</w:t>
      </w:r>
      <w:r>
        <w:rPr>
          <w:sz w:val="24"/>
          <w:szCs w:val="24"/>
        </w:rPr>
        <w:t xml:space="preserve"> est à la fois de stimuler l’innovation sur ces jeux de données, de développer des services pour les citoyens, de montrer l’impact de la publication aux producteurs de données et de créer une dynamique afin d’impliquer d’autres agences n’ayant pas encore rejoint le mouvement.</w:t>
      </w:r>
    </w:p>
    <w:p w14:paraId="41E33E95" w14:textId="0ADB0304" w:rsidR="004C4146" w:rsidRDefault="004C4146" w:rsidP="00D5699E">
      <w:pPr>
        <w:pStyle w:val="Paragraphedeliste"/>
        <w:numPr>
          <w:ilvl w:val="1"/>
          <w:numId w:val="115"/>
        </w:numPr>
        <w:jc w:val="both"/>
        <w:rPr>
          <w:sz w:val="24"/>
          <w:szCs w:val="24"/>
        </w:rPr>
      </w:pPr>
      <w:r>
        <w:rPr>
          <w:sz w:val="24"/>
          <w:szCs w:val="24"/>
        </w:rPr>
        <w:t>Responsabilité</w:t>
      </w:r>
      <w:r w:rsidR="00CC0611">
        <w:rPr>
          <w:sz w:val="24"/>
          <w:szCs w:val="24"/>
        </w:rPr>
        <w:t xml:space="preserve"> </w:t>
      </w:r>
      <w:r>
        <w:rPr>
          <w:sz w:val="24"/>
          <w:szCs w:val="24"/>
        </w:rPr>
        <w:t>: C</w:t>
      </w:r>
      <w:r w:rsidR="00BB21F4">
        <w:rPr>
          <w:sz w:val="24"/>
          <w:szCs w:val="24"/>
        </w:rPr>
        <w:t>o</w:t>
      </w:r>
      <w:r>
        <w:rPr>
          <w:sz w:val="24"/>
          <w:szCs w:val="24"/>
        </w:rPr>
        <w:t>P</w:t>
      </w:r>
      <w:r w:rsidR="00BB21F4">
        <w:rPr>
          <w:sz w:val="24"/>
          <w:szCs w:val="24"/>
        </w:rPr>
        <w:t>il + Comité Mixte + Ministère</w:t>
      </w:r>
      <w:r w:rsidR="00EB4C2C">
        <w:rPr>
          <w:sz w:val="24"/>
          <w:szCs w:val="24"/>
        </w:rPr>
        <w:t>s</w:t>
      </w:r>
      <w:r w:rsidR="00BB21F4">
        <w:rPr>
          <w:sz w:val="24"/>
          <w:szCs w:val="24"/>
        </w:rPr>
        <w:t xml:space="preserve"> concerné</w:t>
      </w:r>
      <w:r w:rsidR="00EB4C2C">
        <w:rPr>
          <w:sz w:val="24"/>
          <w:szCs w:val="24"/>
        </w:rPr>
        <w:t>s</w:t>
      </w:r>
      <w:r w:rsidR="00BB21F4">
        <w:rPr>
          <w:sz w:val="24"/>
          <w:szCs w:val="24"/>
        </w:rPr>
        <w:t xml:space="preserve"> </w:t>
      </w:r>
    </w:p>
    <w:p w14:paraId="45E4A7D4" w14:textId="11AFA764" w:rsidR="004C4146" w:rsidRDefault="004C4146" w:rsidP="00D5699E">
      <w:pPr>
        <w:pStyle w:val="Paragraphedeliste"/>
        <w:numPr>
          <w:ilvl w:val="1"/>
          <w:numId w:val="115"/>
        </w:numPr>
        <w:jc w:val="both"/>
        <w:rPr>
          <w:sz w:val="24"/>
          <w:szCs w:val="24"/>
        </w:rPr>
      </w:pPr>
      <w:r>
        <w:rPr>
          <w:sz w:val="24"/>
          <w:szCs w:val="24"/>
        </w:rPr>
        <w:t>Temps requis</w:t>
      </w:r>
      <w:r w:rsidR="00CC0611">
        <w:rPr>
          <w:sz w:val="24"/>
          <w:szCs w:val="24"/>
        </w:rPr>
        <w:t xml:space="preserve"> </w:t>
      </w:r>
      <w:r>
        <w:rPr>
          <w:sz w:val="24"/>
          <w:szCs w:val="24"/>
        </w:rPr>
        <w:t>: 2-3 mois par événement</w:t>
      </w:r>
      <w:r w:rsidR="001045F9">
        <w:rPr>
          <w:sz w:val="24"/>
          <w:szCs w:val="24"/>
        </w:rPr>
        <w:t xml:space="preserve"> – un événement par secteur au moins pour motiver les structures correspondantes</w:t>
      </w:r>
    </w:p>
    <w:p w14:paraId="700757B7" w14:textId="358FD072" w:rsidR="004C4146" w:rsidRDefault="004C4146" w:rsidP="00D5699E">
      <w:pPr>
        <w:pStyle w:val="Paragraphedeliste"/>
        <w:numPr>
          <w:ilvl w:val="1"/>
          <w:numId w:val="115"/>
        </w:numPr>
        <w:jc w:val="both"/>
        <w:rPr>
          <w:sz w:val="24"/>
          <w:szCs w:val="24"/>
        </w:rPr>
      </w:pPr>
      <w:r>
        <w:rPr>
          <w:sz w:val="24"/>
          <w:szCs w:val="24"/>
        </w:rPr>
        <w:t>Co</w:t>
      </w:r>
      <w:r w:rsidR="00B45D25">
        <w:rPr>
          <w:sz w:val="24"/>
          <w:szCs w:val="24"/>
        </w:rPr>
        <w:t>û</w:t>
      </w:r>
      <w:r>
        <w:rPr>
          <w:sz w:val="24"/>
          <w:szCs w:val="24"/>
        </w:rPr>
        <w:t>t</w:t>
      </w:r>
      <w:r w:rsidR="00CC0611">
        <w:rPr>
          <w:sz w:val="24"/>
          <w:szCs w:val="24"/>
        </w:rPr>
        <w:t xml:space="preserve"> </w:t>
      </w:r>
      <w:r>
        <w:rPr>
          <w:sz w:val="24"/>
          <w:szCs w:val="24"/>
        </w:rPr>
        <w:t>: 20 à 30k/événement</w:t>
      </w:r>
    </w:p>
    <w:p w14:paraId="752FFD22" w14:textId="77777777" w:rsidR="00CC0611" w:rsidRDefault="00CC0611" w:rsidP="00CC0611">
      <w:pPr>
        <w:pStyle w:val="Paragraphedeliste"/>
        <w:ind w:left="1440"/>
        <w:jc w:val="both"/>
        <w:rPr>
          <w:sz w:val="24"/>
          <w:szCs w:val="24"/>
        </w:rPr>
      </w:pPr>
    </w:p>
    <w:p w14:paraId="1164D2A6" w14:textId="1E8F5361" w:rsidR="004C4146" w:rsidRDefault="004C4146" w:rsidP="00D5699E">
      <w:pPr>
        <w:pStyle w:val="Paragraphedeliste"/>
        <w:numPr>
          <w:ilvl w:val="0"/>
          <w:numId w:val="115"/>
        </w:numPr>
        <w:jc w:val="both"/>
        <w:rPr>
          <w:sz w:val="24"/>
          <w:szCs w:val="24"/>
        </w:rPr>
      </w:pPr>
      <w:r>
        <w:rPr>
          <w:b/>
          <w:sz w:val="24"/>
          <w:szCs w:val="24"/>
        </w:rPr>
        <w:t>Mise en place d’un mécanisme de requête de jeux de données en ligne et de réponse</w:t>
      </w:r>
      <w:r w:rsidR="00CC0611">
        <w:rPr>
          <w:b/>
          <w:sz w:val="24"/>
          <w:szCs w:val="24"/>
        </w:rPr>
        <w:t xml:space="preserve"> </w:t>
      </w:r>
      <w:r>
        <w:rPr>
          <w:sz w:val="24"/>
          <w:szCs w:val="24"/>
        </w:rPr>
        <w:t>: Il est essential d’offrir aux acteurs non-étatiques un moyen d’exprimer leur besoin et un processus formel au sein du gouvernement pour y répondre afin de s’assurer que les réponses sont à la fois conformes au décret</w:t>
      </w:r>
      <w:r w:rsidR="00BB21F4">
        <w:rPr>
          <w:sz w:val="24"/>
          <w:szCs w:val="24"/>
        </w:rPr>
        <w:t xml:space="preserve"> et à la loi d’accès à l’information</w:t>
      </w:r>
      <w:r>
        <w:rPr>
          <w:sz w:val="24"/>
          <w:szCs w:val="24"/>
        </w:rPr>
        <w:t xml:space="preserve"> et homogène</w:t>
      </w:r>
      <w:r w:rsidR="00D52F30">
        <w:rPr>
          <w:sz w:val="24"/>
          <w:szCs w:val="24"/>
        </w:rPr>
        <w:t>s</w:t>
      </w:r>
      <w:r>
        <w:rPr>
          <w:sz w:val="24"/>
          <w:szCs w:val="24"/>
        </w:rPr>
        <w:t xml:space="preserve"> entre les agences. Ce même mécanisme devrait aussi être en mesure de gérer le retour des utilisateurs sur la qualité des jeux de données publiés ou les demandes spécifiques. </w:t>
      </w:r>
    </w:p>
    <w:p w14:paraId="63F1E293" w14:textId="1564845A" w:rsidR="004C4146" w:rsidRDefault="004C4146" w:rsidP="004C4146">
      <w:pPr>
        <w:pStyle w:val="Paragraphedeliste"/>
        <w:jc w:val="both"/>
        <w:rPr>
          <w:sz w:val="24"/>
          <w:szCs w:val="24"/>
        </w:rPr>
      </w:pPr>
      <w:r>
        <w:rPr>
          <w:sz w:val="24"/>
          <w:szCs w:val="24"/>
        </w:rPr>
        <w:t>Une façon d’implémenter ce service est au travers d’un formulaire en ligne attaché au portail de données. Ils pourraient soumettre leurs requêtes et débattre au travers de forum</w:t>
      </w:r>
      <w:r w:rsidR="00D52F30">
        <w:rPr>
          <w:sz w:val="24"/>
          <w:szCs w:val="24"/>
        </w:rPr>
        <w:t>s</w:t>
      </w:r>
      <w:r>
        <w:rPr>
          <w:sz w:val="24"/>
          <w:szCs w:val="24"/>
        </w:rPr>
        <w:t xml:space="preserve"> avec le reste de la communauté à la fois sur les jeux de données et </w:t>
      </w:r>
      <w:r w:rsidR="00D52F30">
        <w:rPr>
          <w:sz w:val="24"/>
          <w:szCs w:val="24"/>
        </w:rPr>
        <w:t xml:space="preserve">sur </w:t>
      </w:r>
      <w:r>
        <w:rPr>
          <w:sz w:val="24"/>
          <w:szCs w:val="24"/>
        </w:rPr>
        <w:t xml:space="preserve">leur qualité. Un tel service, pour être efficace, devra être structuré comme tout service de support avec numéro de ticket et suivi pour s’assurer qu’une réponse adéquate est fournie dans un délai raisonnable. </w:t>
      </w:r>
    </w:p>
    <w:p w14:paraId="518E0B0D" w14:textId="201ED0FE" w:rsidR="004C4146" w:rsidRDefault="004C4146" w:rsidP="00D5699E">
      <w:pPr>
        <w:pStyle w:val="Paragraphedeliste"/>
        <w:numPr>
          <w:ilvl w:val="1"/>
          <w:numId w:val="115"/>
        </w:numPr>
        <w:jc w:val="both"/>
        <w:rPr>
          <w:sz w:val="24"/>
          <w:szCs w:val="24"/>
        </w:rPr>
      </w:pPr>
      <w:r>
        <w:rPr>
          <w:sz w:val="24"/>
          <w:szCs w:val="24"/>
        </w:rPr>
        <w:t>Responsabilité</w:t>
      </w:r>
      <w:r w:rsidR="00CC0611">
        <w:rPr>
          <w:sz w:val="24"/>
          <w:szCs w:val="24"/>
        </w:rPr>
        <w:t xml:space="preserve"> </w:t>
      </w:r>
      <w:r>
        <w:rPr>
          <w:sz w:val="24"/>
          <w:szCs w:val="24"/>
        </w:rPr>
        <w:t xml:space="preserve">: </w:t>
      </w:r>
      <w:r w:rsidR="00BB21F4">
        <w:rPr>
          <w:sz w:val="24"/>
          <w:szCs w:val="24"/>
        </w:rPr>
        <w:t>CoPil + Comité Mixte</w:t>
      </w:r>
    </w:p>
    <w:p w14:paraId="514ACFE8" w14:textId="408C3F45" w:rsidR="004C4146" w:rsidRDefault="004C4146" w:rsidP="00D5699E">
      <w:pPr>
        <w:pStyle w:val="Paragraphedeliste"/>
        <w:numPr>
          <w:ilvl w:val="1"/>
          <w:numId w:val="115"/>
        </w:numPr>
        <w:jc w:val="both"/>
        <w:rPr>
          <w:sz w:val="24"/>
          <w:szCs w:val="24"/>
        </w:rPr>
      </w:pPr>
      <w:r>
        <w:rPr>
          <w:sz w:val="24"/>
          <w:szCs w:val="24"/>
        </w:rPr>
        <w:t>Temps requis</w:t>
      </w:r>
      <w:r w:rsidR="00CC0611">
        <w:rPr>
          <w:sz w:val="24"/>
          <w:szCs w:val="24"/>
        </w:rPr>
        <w:t xml:space="preserve"> </w:t>
      </w:r>
      <w:r>
        <w:rPr>
          <w:sz w:val="24"/>
          <w:szCs w:val="24"/>
        </w:rPr>
        <w:t>: 2-4 mois</w:t>
      </w:r>
    </w:p>
    <w:p w14:paraId="3E16DD7C" w14:textId="7A8E7E80" w:rsidR="004C4146" w:rsidRDefault="004C4146" w:rsidP="00D5699E">
      <w:pPr>
        <w:pStyle w:val="Paragraphedeliste"/>
        <w:numPr>
          <w:ilvl w:val="1"/>
          <w:numId w:val="115"/>
        </w:numPr>
        <w:jc w:val="both"/>
        <w:rPr>
          <w:sz w:val="24"/>
          <w:szCs w:val="24"/>
        </w:rPr>
      </w:pPr>
      <w:r>
        <w:rPr>
          <w:sz w:val="24"/>
          <w:szCs w:val="24"/>
        </w:rPr>
        <w:t>Co</w:t>
      </w:r>
      <w:r w:rsidR="00B45D25">
        <w:rPr>
          <w:sz w:val="24"/>
          <w:szCs w:val="24"/>
        </w:rPr>
        <w:t>û</w:t>
      </w:r>
      <w:r>
        <w:rPr>
          <w:sz w:val="24"/>
          <w:szCs w:val="24"/>
        </w:rPr>
        <w:t>t</w:t>
      </w:r>
      <w:r w:rsidR="00CC0611">
        <w:rPr>
          <w:sz w:val="24"/>
          <w:szCs w:val="24"/>
        </w:rPr>
        <w:t xml:space="preserve"> </w:t>
      </w:r>
      <w:r>
        <w:rPr>
          <w:sz w:val="24"/>
          <w:szCs w:val="24"/>
        </w:rPr>
        <w:t>: ressources humaines pour la gestion des requêtes et la liaison avec les agences appropriées.</w:t>
      </w:r>
    </w:p>
    <w:p w14:paraId="0E3BAE99" w14:textId="77777777" w:rsidR="004C4146" w:rsidRDefault="004C4146" w:rsidP="004C4146">
      <w:pPr>
        <w:pStyle w:val="Sous-titre"/>
        <w:spacing w:before="0" w:after="0"/>
        <w:rPr>
          <w:lang w:val="fr-FR"/>
        </w:rPr>
      </w:pPr>
    </w:p>
    <w:p w14:paraId="22A5E12D" w14:textId="77777777" w:rsidR="004C4146" w:rsidRDefault="004C4146" w:rsidP="004C4146">
      <w:pPr>
        <w:spacing w:after="0"/>
        <w:rPr>
          <w:rFonts w:eastAsiaTheme="minorEastAsia"/>
          <w:caps/>
          <w:color w:val="595959" w:themeColor="text1" w:themeTint="A6"/>
          <w:spacing w:val="10"/>
          <w:sz w:val="24"/>
          <w:szCs w:val="24"/>
        </w:rPr>
      </w:pPr>
      <w:r>
        <w:rPr>
          <w:rFonts w:eastAsiaTheme="minorEastAsia"/>
          <w:caps/>
          <w:color w:val="595959" w:themeColor="text1" w:themeTint="A6"/>
          <w:spacing w:val="10"/>
          <w:sz w:val="24"/>
          <w:szCs w:val="24"/>
        </w:rPr>
        <w:t>FINANCEMENT D’UN PROGRAMME D’OUVERTURE DES DONNEES PUBLIQUES</w:t>
      </w:r>
    </w:p>
    <w:p w14:paraId="50BC3AA9" w14:textId="77777777" w:rsidR="004C4146" w:rsidRDefault="004C4146" w:rsidP="004C4146">
      <w:pPr>
        <w:spacing w:after="0"/>
      </w:pPr>
    </w:p>
    <w:p w14:paraId="602351E4" w14:textId="60E54EB8" w:rsidR="004C4146" w:rsidRDefault="004C4146" w:rsidP="00D5699E">
      <w:pPr>
        <w:pStyle w:val="Paragraphedeliste"/>
        <w:numPr>
          <w:ilvl w:val="0"/>
          <w:numId w:val="116"/>
        </w:numPr>
        <w:jc w:val="both"/>
        <w:rPr>
          <w:b/>
          <w:sz w:val="24"/>
          <w:szCs w:val="24"/>
        </w:rPr>
      </w:pPr>
      <w:r>
        <w:rPr>
          <w:b/>
          <w:sz w:val="24"/>
          <w:szCs w:val="24"/>
        </w:rPr>
        <w:t>Identification de budget et de re</w:t>
      </w:r>
      <w:r w:rsidR="00BB21F4">
        <w:rPr>
          <w:b/>
          <w:sz w:val="24"/>
          <w:szCs w:val="24"/>
        </w:rPr>
        <w:t xml:space="preserve">ssources humaines au sein de l’UAE </w:t>
      </w:r>
      <w:r>
        <w:rPr>
          <w:b/>
          <w:sz w:val="24"/>
          <w:szCs w:val="24"/>
        </w:rPr>
        <w:t xml:space="preserve">et </w:t>
      </w:r>
      <w:r w:rsidR="002B413B">
        <w:rPr>
          <w:b/>
          <w:sz w:val="24"/>
          <w:szCs w:val="24"/>
        </w:rPr>
        <w:t>des premières agences sélectionnées</w:t>
      </w:r>
      <w:r>
        <w:rPr>
          <w:b/>
          <w:sz w:val="24"/>
          <w:szCs w:val="24"/>
        </w:rPr>
        <w:t xml:space="preserve"> pour l’organisation des activités de sensibilisation, installation, formation et renforcement de capacités, nettoyage et publication des données, etc.</w:t>
      </w:r>
    </w:p>
    <w:p w14:paraId="46097244" w14:textId="167FC241" w:rsidR="004C4146" w:rsidRDefault="004C4146" w:rsidP="00D5699E">
      <w:pPr>
        <w:pStyle w:val="Paragraphedeliste"/>
        <w:numPr>
          <w:ilvl w:val="1"/>
          <w:numId w:val="116"/>
        </w:numPr>
        <w:jc w:val="both"/>
        <w:rPr>
          <w:sz w:val="24"/>
          <w:szCs w:val="24"/>
        </w:rPr>
      </w:pPr>
      <w:r>
        <w:rPr>
          <w:sz w:val="24"/>
          <w:szCs w:val="24"/>
        </w:rPr>
        <w:t>Responsabilité</w:t>
      </w:r>
      <w:r w:rsidR="00CC0611">
        <w:rPr>
          <w:sz w:val="24"/>
          <w:szCs w:val="24"/>
        </w:rPr>
        <w:t xml:space="preserve"> </w:t>
      </w:r>
      <w:r>
        <w:rPr>
          <w:sz w:val="24"/>
          <w:szCs w:val="24"/>
        </w:rPr>
        <w:t xml:space="preserve">: </w:t>
      </w:r>
      <w:r w:rsidR="00A113C0">
        <w:rPr>
          <w:sz w:val="24"/>
          <w:szCs w:val="24"/>
        </w:rPr>
        <w:t>UAE</w:t>
      </w:r>
    </w:p>
    <w:p w14:paraId="73717DC1" w14:textId="128AA213" w:rsidR="004C4146" w:rsidRDefault="004C4146" w:rsidP="00D5699E">
      <w:pPr>
        <w:pStyle w:val="Paragraphedeliste"/>
        <w:numPr>
          <w:ilvl w:val="1"/>
          <w:numId w:val="116"/>
        </w:numPr>
        <w:jc w:val="both"/>
        <w:rPr>
          <w:sz w:val="24"/>
          <w:szCs w:val="24"/>
        </w:rPr>
      </w:pPr>
      <w:r>
        <w:rPr>
          <w:sz w:val="24"/>
          <w:szCs w:val="24"/>
        </w:rPr>
        <w:t>Temps requis</w:t>
      </w:r>
      <w:r w:rsidR="00CC0611">
        <w:rPr>
          <w:sz w:val="24"/>
          <w:szCs w:val="24"/>
        </w:rPr>
        <w:t xml:space="preserve"> </w:t>
      </w:r>
      <w:r>
        <w:rPr>
          <w:sz w:val="24"/>
          <w:szCs w:val="24"/>
        </w:rPr>
        <w:t>: 2-3 mois</w:t>
      </w:r>
    </w:p>
    <w:p w14:paraId="63F25A42" w14:textId="42861246" w:rsidR="004C4146" w:rsidRDefault="004C4146" w:rsidP="00D5699E">
      <w:pPr>
        <w:pStyle w:val="Paragraphedeliste"/>
        <w:numPr>
          <w:ilvl w:val="1"/>
          <w:numId w:val="116"/>
        </w:numPr>
        <w:jc w:val="both"/>
        <w:rPr>
          <w:sz w:val="24"/>
          <w:szCs w:val="24"/>
        </w:rPr>
      </w:pPr>
      <w:r>
        <w:rPr>
          <w:sz w:val="24"/>
          <w:szCs w:val="24"/>
        </w:rPr>
        <w:t>Co</w:t>
      </w:r>
      <w:r w:rsidR="00B45D25">
        <w:rPr>
          <w:sz w:val="24"/>
          <w:szCs w:val="24"/>
        </w:rPr>
        <w:t>û</w:t>
      </w:r>
      <w:r>
        <w:rPr>
          <w:sz w:val="24"/>
          <w:szCs w:val="24"/>
        </w:rPr>
        <w:t>t</w:t>
      </w:r>
      <w:r w:rsidR="00CC0611">
        <w:rPr>
          <w:sz w:val="24"/>
          <w:szCs w:val="24"/>
        </w:rPr>
        <w:t xml:space="preserve"> </w:t>
      </w:r>
      <w:r>
        <w:rPr>
          <w:sz w:val="24"/>
          <w:szCs w:val="24"/>
        </w:rPr>
        <w:t>: NA</w:t>
      </w:r>
    </w:p>
    <w:p w14:paraId="2C77CFF6" w14:textId="77777777" w:rsidR="00CC0611" w:rsidRDefault="00CC0611" w:rsidP="001B6DD5">
      <w:pPr>
        <w:pStyle w:val="Paragraphedeliste"/>
        <w:ind w:left="1440"/>
        <w:jc w:val="both"/>
        <w:rPr>
          <w:sz w:val="24"/>
          <w:szCs w:val="24"/>
        </w:rPr>
      </w:pPr>
    </w:p>
    <w:p w14:paraId="637D8DA3" w14:textId="64EB192C" w:rsidR="004C4146" w:rsidRPr="00BB21F4" w:rsidRDefault="004C4146" w:rsidP="00D5699E">
      <w:pPr>
        <w:pStyle w:val="Paragraphedeliste"/>
        <w:numPr>
          <w:ilvl w:val="0"/>
          <w:numId w:val="116"/>
        </w:numPr>
        <w:jc w:val="both"/>
        <w:rPr>
          <w:sz w:val="24"/>
          <w:szCs w:val="24"/>
        </w:rPr>
      </w:pPr>
      <w:r>
        <w:rPr>
          <w:b/>
          <w:sz w:val="24"/>
          <w:szCs w:val="24"/>
        </w:rPr>
        <w:t xml:space="preserve">Identification des donneurs ou des projets en cours </w:t>
      </w:r>
      <w:r w:rsidR="009B29D5">
        <w:rPr>
          <w:b/>
          <w:sz w:val="24"/>
          <w:szCs w:val="24"/>
        </w:rPr>
        <w:t xml:space="preserve">ou à venir </w:t>
      </w:r>
      <w:r>
        <w:rPr>
          <w:b/>
          <w:sz w:val="24"/>
          <w:szCs w:val="24"/>
        </w:rPr>
        <w:t xml:space="preserve">pouvant financer </w:t>
      </w:r>
      <w:r w:rsidR="00BB21F4">
        <w:rPr>
          <w:b/>
          <w:sz w:val="24"/>
          <w:szCs w:val="24"/>
        </w:rPr>
        <w:t>certaines actions du plan d’action.</w:t>
      </w:r>
      <w:r>
        <w:rPr>
          <w:b/>
          <w:sz w:val="24"/>
          <w:szCs w:val="24"/>
        </w:rPr>
        <w:t xml:space="preserve"> </w:t>
      </w:r>
      <w:r w:rsidR="00BB21F4" w:rsidRPr="00BB21F4">
        <w:rPr>
          <w:sz w:val="24"/>
          <w:szCs w:val="24"/>
        </w:rPr>
        <w:t>Cette approche devrait inclure à la fois les approches de financement extérieures et aussi les opportunités internes (fond des TIC du MTCEN) et devrait considérer les financements spécifiques pour l’Open Data ou les actions du plan PGO, mais également les projets sectoriels.</w:t>
      </w:r>
    </w:p>
    <w:p w14:paraId="62AF8320" w14:textId="7642F569" w:rsidR="004C4146" w:rsidRDefault="004C4146" w:rsidP="00D5699E">
      <w:pPr>
        <w:pStyle w:val="Paragraphedeliste"/>
        <w:numPr>
          <w:ilvl w:val="1"/>
          <w:numId w:val="116"/>
        </w:numPr>
        <w:jc w:val="both"/>
        <w:rPr>
          <w:sz w:val="24"/>
          <w:szCs w:val="24"/>
        </w:rPr>
      </w:pPr>
      <w:r>
        <w:rPr>
          <w:sz w:val="24"/>
          <w:szCs w:val="24"/>
        </w:rPr>
        <w:t>Responsabilité</w:t>
      </w:r>
      <w:r w:rsidR="00CC0611">
        <w:rPr>
          <w:sz w:val="24"/>
          <w:szCs w:val="24"/>
        </w:rPr>
        <w:t xml:space="preserve"> </w:t>
      </w:r>
      <w:r>
        <w:rPr>
          <w:sz w:val="24"/>
          <w:szCs w:val="24"/>
        </w:rPr>
        <w:t xml:space="preserve">: </w:t>
      </w:r>
      <w:r w:rsidR="00BB21F4">
        <w:rPr>
          <w:sz w:val="24"/>
          <w:szCs w:val="24"/>
        </w:rPr>
        <w:t>UAE</w:t>
      </w:r>
    </w:p>
    <w:p w14:paraId="02464576" w14:textId="64A2BC4F" w:rsidR="004C4146" w:rsidRDefault="004C4146" w:rsidP="00D5699E">
      <w:pPr>
        <w:pStyle w:val="Paragraphedeliste"/>
        <w:numPr>
          <w:ilvl w:val="1"/>
          <w:numId w:val="116"/>
        </w:numPr>
        <w:jc w:val="both"/>
        <w:rPr>
          <w:sz w:val="24"/>
          <w:szCs w:val="24"/>
        </w:rPr>
      </w:pPr>
      <w:r>
        <w:rPr>
          <w:sz w:val="24"/>
          <w:szCs w:val="24"/>
        </w:rPr>
        <w:t>Temps requis</w:t>
      </w:r>
      <w:r w:rsidR="00CC0611">
        <w:rPr>
          <w:sz w:val="24"/>
          <w:szCs w:val="24"/>
        </w:rPr>
        <w:t xml:space="preserve"> </w:t>
      </w:r>
      <w:r>
        <w:rPr>
          <w:sz w:val="24"/>
          <w:szCs w:val="24"/>
        </w:rPr>
        <w:t>: 4-</w:t>
      </w:r>
      <w:r w:rsidR="00A113C0">
        <w:rPr>
          <w:sz w:val="24"/>
          <w:szCs w:val="24"/>
        </w:rPr>
        <w:t>6</w:t>
      </w:r>
      <w:r>
        <w:rPr>
          <w:sz w:val="24"/>
          <w:szCs w:val="24"/>
        </w:rPr>
        <w:t xml:space="preserve"> mois</w:t>
      </w:r>
    </w:p>
    <w:p w14:paraId="5CE36362" w14:textId="3A765D81" w:rsidR="004C4146" w:rsidRDefault="004C4146" w:rsidP="00D5699E">
      <w:pPr>
        <w:pStyle w:val="Paragraphedeliste"/>
        <w:numPr>
          <w:ilvl w:val="1"/>
          <w:numId w:val="116"/>
        </w:numPr>
        <w:jc w:val="both"/>
        <w:rPr>
          <w:sz w:val="24"/>
          <w:szCs w:val="24"/>
        </w:rPr>
      </w:pPr>
      <w:r>
        <w:rPr>
          <w:sz w:val="24"/>
          <w:szCs w:val="24"/>
        </w:rPr>
        <w:t>Co</w:t>
      </w:r>
      <w:r w:rsidR="00B45D25">
        <w:rPr>
          <w:sz w:val="24"/>
          <w:szCs w:val="24"/>
        </w:rPr>
        <w:t>û</w:t>
      </w:r>
      <w:r>
        <w:rPr>
          <w:sz w:val="24"/>
          <w:szCs w:val="24"/>
        </w:rPr>
        <w:t>t</w:t>
      </w:r>
      <w:r w:rsidR="00CC0611">
        <w:rPr>
          <w:sz w:val="24"/>
          <w:szCs w:val="24"/>
        </w:rPr>
        <w:t xml:space="preserve"> </w:t>
      </w:r>
      <w:r>
        <w:rPr>
          <w:sz w:val="24"/>
          <w:szCs w:val="24"/>
        </w:rPr>
        <w:t>: NA</w:t>
      </w:r>
    </w:p>
    <w:p w14:paraId="1A688431" w14:textId="404C0329" w:rsidR="004C4146" w:rsidRDefault="004C4146" w:rsidP="004C4146">
      <w:pPr>
        <w:pStyle w:val="Sous-titre"/>
        <w:spacing w:before="0" w:after="0"/>
        <w:rPr>
          <w:lang w:val="fr-FR"/>
        </w:rPr>
      </w:pPr>
      <w:r>
        <w:rPr>
          <w:lang w:val="fr-FR"/>
        </w:rPr>
        <w:t>INFRASTRUCTURES NATIONALES TECHNOLOGIQUES ET COMPETENCESINFORMATIQUES</w:t>
      </w:r>
    </w:p>
    <w:p w14:paraId="36A41143" w14:textId="77777777" w:rsidR="004C4146" w:rsidRDefault="004C4146" w:rsidP="004C4146">
      <w:pPr>
        <w:spacing w:after="0"/>
      </w:pPr>
    </w:p>
    <w:p w14:paraId="5F42E76C" w14:textId="08940E2C" w:rsidR="004C4146" w:rsidRDefault="004C4146" w:rsidP="00D5699E">
      <w:pPr>
        <w:pStyle w:val="Paragraphedeliste"/>
        <w:numPr>
          <w:ilvl w:val="0"/>
          <w:numId w:val="115"/>
        </w:numPr>
        <w:jc w:val="both"/>
        <w:rPr>
          <w:sz w:val="24"/>
          <w:szCs w:val="24"/>
        </w:rPr>
      </w:pPr>
      <w:r>
        <w:rPr>
          <w:b/>
          <w:sz w:val="24"/>
          <w:szCs w:val="24"/>
        </w:rPr>
        <w:t>Mise en place d’un standard d’interopérabilité des données au travers de la définition d’un standard de métadonnées pour tous les jeux de données</w:t>
      </w:r>
      <w:r w:rsidR="002F7A79">
        <w:rPr>
          <w:b/>
          <w:sz w:val="24"/>
          <w:szCs w:val="24"/>
        </w:rPr>
        <w:t xml:space="preserve"> </w:t>
      </w:r>
      <w:r>
        <w:rPr>
          <w:sz w:val="24"/>
          <w:szCs w:val="24"/>
        </w:rPr>
        <w:t xml:space="preserve">: Il conviendra d’adopter un standard commun pour la description des jeux de données afin de faciliter l’indexation et l’exploitation des jeux de données. </w:t>
      </w:r>
    </w:p>
    <w:p w14:paraId="24B5132C" w14:textId="591C9365" w:rsidR="004C4146" w:rsidRDefault="004C4146" w:rsidP="00D5699E">
      <w:pPr>
        <w:pStyle w:val="Paragraphedeliste"/>
        <w:numPr>
          <w:ilvl w:val="1"/>
          <w:numId w:val="115"/>
        </w:numPr>
        <w:jc w:val="both"/>
        <w:rPr>
          <w:sz w:val="24"/>
          <w:szCs w:val="24"/>
        </w:rPr>
      </w:pPr>
      <w:r>
        <w:rPr>
          <w:sz w:val="24"/>
          <w:szCs w:val="24"/>
        </w:rPr>
        <w:t>Responsabilité</w:t>
      </w:r>
      <w:r w:rsidR="002F7A79">
        <w:rPr>
          <w:sz w:val="24"/>
          <w:szCs w:val="24"/>
        </w:rPr>
        <w:t xml:space="preserve"> </w:t>
      </w:r>
      <w:r>
        <w:rPr>
          <w:sz w:val="24"/>
          <w:szCs w:val="24"/>
        </w:rPr>
        <w:t>: C</w:t>
      </w:r>
      <w:r w:rsidR="00A113C0">
        <w:rPr>
          <w:sz w:val="24"/>
          <w:szCs w:val="24"/>
        </w:rPr>
        <w:t>o</w:t>
      </w:r>
      <w:r>
        <w:rPr>
          <w:sz w:val="24"/>
          <w:szCs w:val="24"/>
        </w:rPr>
        <w:t>P</w:t>
      </w:r>
      <w:r w:rsidR="00A113C0">
        <w:rPr>
          <w:sz w:val="24"/>
          <w:szCs w:val="24"/>
        </w:rPr>
        <w:t>il</w:t>
      </w:r>
      <w:r>
        <w:rPr>
          <w:sz w:val="24"/>
          <w:szCs w:val="24"/>
        </w:rPr>
        <w:t xml:space="preserve"> +</w:t>
      </w:r>
      <w:r w:rsidR="00A113C0">
        <w:rPr>
          <w:sz w:val="24"/>
          <w:szCs w:val="24"/>
        </w:rPr>
        <w:t xml:space="preserve"> groupe</w:t>
      </w:r>
      <w:r>
        <w:rPr>
          <w:sz w:val="24"/>
          <w:szCs w:val="24"/>
        </w:rPr>
        <w:t xml:space="preserve"> de travail</w:t>
      </w:r>
    </w:p>
    <w:p w14:paraId="51AD38E7" w14:textId="7A8AC2DE" w:rsidR="004C4146" w:rsidRDefault="004C4146" w:rsidP="00D5699E">
      <w:pPr>
        <w:pStyle w:val="Paragraphedeliste"/>
        <w:numPr>
          <w:ilvl w:val="1"/>
          <w:numId w:val="115"/>
        </w:numPr>
        <w:jc w:val="both"/>
        <w:rPr>
          <w:sz w:val="24"/>
          <w:szCs w:val="24"/>
        </w:rPr>
      </w:pPr>
      <w:r>
        <w:rPr>
          <w:sz w:val="24"/>
          <w:szCs w:val="24"/>
        </w:rPr>
        <w:t>Temps requis</w:t>
      </w:r>
      <w:r w:rsidR="002F7A79">
        <w:rPr>
          <w:sz w:val="24"/>
          <w:szCs w:val="24"/>
        </w:rPr>
        <w:t xml:space="preserve"> </w:t>
      </w:r>
      <w:r>
        <w:rPr>
          <w:sz w:val="24"/>
          <w:szCs w:val="24"/>
        </w:rPr>
        <w:t>: 2-4 mois</w:t>
      </w:r>
    </w:p>
    <w:p w14:paraId="7D6CDF6A" w14:textId="58B5C71C" w:rsidR="004C4146" w:rsidRDefault="004C4146" w:rsidP="00D5699E">
      <w:pPr>
        <w:pStyle w:val="Paragraphedeliste"/>
        <w:numPr>
          <w:ilvl w:val="1"/>
          <w:numId w:val="115"/>
        </w:numPr>
        <w:jc w:val="both"/>
        <w:rPr>
          <w:sz w:val="24"/>
          <w:szCs w:val="24"/>
        </w:rPr>
      </w:pPr>
      <w:r>
        <w:rPr>
          <w:sz w:val="24"/>
          <w:szCs w:val="24"/>
        </w:rPr>
        <w:t>Co</w:t>
      </w:r>
      <w:r w:rsidR="00B45D25">
        <w:rPr>
          <w:sz w:val="24"/>
          <w:szCs w:val="24"/>
        </w:rPr>
        <w:t>û</w:t>
      </w:r>
      <w:r>
        <w:rPr>
          <w:sz w:val="24"/>
          <w:szCs w:val="24"/>
        </w:rPr>
        <w:t>t</w:t>
      </w:r>
      <w:r w:rsidR="002F7A79">
        <w:rPr>
          <w:sz w:val="24"/>
          <w:szCs w:val="24"/>
        </w:rPr>
        <w:t xml:space="preserve"> </w:t>
      </w:r>
      <w:r>
        <w:rPr>
          <w:sz w:val="24"/>
          <w:szCs w:val="24"/>
        </w:rPr>
        <w:t>: 20K USD si utilisation d’experts</w:t>
      </w:r>
      <w:r w:rsidR="00F4468A">
        <w:rPr>
          <w:sz w:val="24"/>
          <w:szCs w:val="24"/>
        </w:rPr>
        <w:t xml:space="preserve"> nationaux ou </w:t>
      </w:r>
      <w:r>
        <w:rPr>
          <w:sz w:val="24"/>
          <w:szCs w:val="24"/>
        </w:rPr>
        <w:t xml:space="preserve"> internationaux</w:t>
      </w:r>
      <w:r w:rsidR="00F4468A">
        <w:rPr>
          <w:rStyle w:val="Appelnotedebasdep"/>
          <w:sz w:val="24"/>
          <w:szCs w:val="24"/>
        </w:rPr>
        <w:footnoteReference w:id="145"/>
      </w:r>
      <w:r>
        <w:rPr>
          <w:sz w:val="24"/>
          <w:szCs w:val="24"/>
        </w:rPr>
        <w:t xml:space="preserve"> </w:t>
      </w:r>
    </w:p>
    <w:p w14:paraId="54C3DC1E" w14:textId="77777777" w:rsidR="004C4146" w:rsidRDefault="004C4146" w:rsidP="00D5699E">
      <w:pPr>
        <w:pStyle w:val="Paragraphedeliste"/>
        <w:numPr>
          <w:ilvl w:val="1"/>
          <w:numId w:val="115"/>
        </w:numPr>
        <w:jc w:val="both"/>
        <w:rPr>
          <w:sz w:val="24"/>
          <w:szCs w:val="24"/>
        </w:rPr>
      </w:pPr>
      <w:r>
        <w:rPr>
          <w:sz w:val="24"/>
          <w:szCs w:val="24"/>
        </w:rPr>
        <w:t>Références</w:t>
      </w:r>
    </w:p>
    <w:p w14:paraId="78E0596A" w14:textId="64399BD1" w:rsidR="004C4146" w:rsidRDefault="004C4146" w:rsidP="00D5699E">
      <w:pPr>
        <w:pStyle w:val="Paragraphedeliste"/>
        <w:numPr>
          <w:ilvl w:val="2"/>
          <w:numId w:val="115"/>
        </w:numPr>
        <w:jc w:val="both"/>
        <w:rPr>
          <w:sz w:val="24"/>
          <w:szCs w:val="24"/>
        </w:rPr>
      </w:pPr>
      <w:r>
        <w:rPr>
          <w:sz w:val="24"/>
          <w:szCs w:val="24"/>
        </w:rPr>
        <w:t>Vocabulaire DCAT pour les catalogues de données sur le Web</w:t>
      </w:r>
      <w:r>
        <w:rPr>
          <w:rStyle w:val="Appelnotedebasdep"/>
          <w:sz w:val="24"/>
          <w:szCs w:val="24"/>
        </w:rPr>
        <w:footnoteReference w:id="146"/>
      </w:r>
    </w:p>
    <w:p w14:paraId="111B8DCD" w14:textId="77777777" w:rsidR="002F7A79" w:rsidRDefault="002F7A79" w:rsidP="002F7A79">
      <w:pPr>
        <w:pStyle w:val="Paragraphedeliste"/>
        <w:ind w:left="2160"/>
        <w:jc w:val="both"/>
        <w:rPr>
          <w:sz w:val="24"/>
          <w:szCs w:val="24"/>
        </w:rPr>
      </w:pPr>
    </w:p>
    <w:p w14:paraId="54C571FD" w14:textId="6E76B31D" w:rsidR="00836401" w:rsidRDefault="00836401" w:rsidP="00D5699E">
      <w:pPr>
        <w:pStyle w:val="Paragraphedeliste"/>
        <w:numPr>
          <w:ilvl w:val="0"/>
          <w:numId w:val="115"/>
        </w:numPr>
        <w:jc w:val="both"/>
        <w:rPr>
          <w:sz w:val="24"/>
          <w:szCs w:val="24"/>
        </w:rPr>
      </w:pPr>
      <w:r w:rsidRPr="007C47CE">
        <w:rPr>
          <w:b/>
          <w:sz w:val="24"/>
          <w:szCs w:val="24"/>
        </w:rPr>
        <w:t xml:space="preserve">Adoption d’une plateforme de portail ouvert pour toutes les agences qui </w:t>
      </w:r>
      <w:r w:rsidR="007C47CE" w:rsidRPr="007C47CE">
        <w:rPr>
          <w:b/>
          <w:sz w:val="24"/>
          <w:szCs w:val="24"/>
        </w:rPr>
        <w:t>désireraient</w:t>
      </w:r>
      <w:r w:rsidRPr="007C47CE">
        <w:rPr>
          <w:b/>
          <w:sz w:val="24"/>
          <w:szCs w:val="24"/>
        </w:rPr>
        <w:t xml:space="preserve"> mettre en œuvre leur propre portail (ainsi que pour toute organisation non-gouvernementale) Développement et lancement d’une première version béta du portail national de données ouvertes</w:t>
      </w:r>
      <w:r w:rsidRPr="007C47CE">
        <w:rPr>
          <w:sz w:val="24"/>
          <w:szCs w:val="24"/>
        </w:rPr>
        <w:t>: L</w:t>
      </w:r>
      <w:r w:rsidR="002E60D1">
        <w:rPr>
          <w:sz w:val="24"/>
          <w:szCs w:val="24"/>
        </w:rPr>
        <w:t>a</w:t>
      </w:r>
      <w:r w:rsidRPr="007C47CE">
        <w:rPr>
          <w:sz w:val="24"/>
          <w:szCs w:val="24"/>
        </w:rPr>
        <w:t xml:space="preserve"> définition de cette plateforme se fera au travers d’un groupe de travail </w:t>
      </w:r>
      <w:r w:rsidR="007C47CE" w:rsidRPr="007C47CE">
        <w:rPr>
          <w:sz w:val="24"/>
          <w:szCs w:val="24"/>
        </w:rPr>
        <w:t>Ad</w:t>
      </w:r>
      <w:r w:rsidR="001E2F4B">
        <w:rPr>
          <w:sz w:val="24"/>
          <w:szCs w:val="24"/>
        </w:rPr>
        <w:t>-</w:t>
      </w:r>
      <w:r w:rsidR="007C47CE" w:rsidRPr="007C47CE">
        <w:rPr>
          <w:sz w:val="24"/>
          <w:szCs w:val="24"/>
        </w:rPr>
        <w:t>hoc</w:t>
      </w:r>
      <w:r w:rsidRPr="007C47CE">
        <w:rPr>
          <w:sz w:val="24"/>
          <w:szCs w:val="24"/>
        </w:rPr>
        <w:t xml:space="preserve"> du CoPil qui rassemblerait les représentants de toutes les équipes techniques ayant déjà acquis une expertise sur le sujet (MIT, MEMER, MIC, </w:t>
      </w:r>
      <w:r w:rsidR="00895E17">
        <w:rPr>
          <w:sz w:val="24"/>
          <w:szCs w:val="24"/>
        </w:rPr>
        <w:t xml:space="preserve">MIP, </w:t>
      </w:r>
      <w:r w:rsidRPr="007C47CE">
        <w:rPr>
          <w:sz w:val="24"/>
          <w:szCs w:val="24"/>
        </w:rPr>
        <w:t xml:space="preserve">MINT, INS, UAE, </w:t>
      </w:r>
      <w:r w:rsidR="007C47CE" w:rsidRPr="007C47CE">
        <w:rPr>
          <w:sz w:val="24"/>
          <w:szCs w:val="24"/>
        </w:rPr>
        <w:t xml:space="preserve">MIF, MALE). </w:t>
      </w:r>
      <w:r w:rsidRPr="007C47CE">
        <w:rPr>
          <w:sz w:val="24"/>
          <w:szCs w:val="24"/>
        </w:rPr>
        <w:t xml:space="preserve"> </w:t>
      </w:r>
    </w:p>
    <w:p w14:paraId="35B2D2C6" w14:textId="45F1F37C" w:rsidR="00836401" w:rsidRDefault="00836401" w:rsidP="00D5699E">
      <w:pPr>
        <w:pStyle w:val="Paragraphedeliste"/>
        <w:numPr>
          <w:ilvl w:val="1"/>
          <w:numId w:val="115"/>
        </w:numPr>
        <w:jc w:val="both"/>
        <w:rPr>
          <w:sz w:val="24"/>
          <w:szCs w:val="24"/>
        </w:rPr>
      </w:pPr>
      <w:r>
        <w:rPr>
          <w:sz w:val="24"/>
          <w:szCs w:val="24"/>
        </w:rPr>
        <w:t>Responsabilité</w:t>
      </w:r>
      <w:r w:rsidR="001E2F4B">
        <w:rPr>
          <w:sz w:val="24"/>
          <w:szCs w:val="24"/>
        </w:rPr>
        <w:t xml:space="preserve"> </w:t>
      </w:r>
      <w:r>
        <w:rPr>
          <w:sz w:val="24"/>
          <w:szCs w:val="24"/>
        </w:rPr>
        <w:t>: C</w:t>
      </w:r>
      <w:r w:rsidR="007C47CE">
        <w:rPr>
          <w:sz w:val="24"/>
          <w:szCs w:val="24"/>
        </w:rPr>
        <w:t>o</w:t>
      </w:r>
      <w:r>
        <w:rPr>
          <w:sz w:val="24"/>
          <w:szCs w:val="24"/>
        </w:rPr>
        <w:t>P</w:t>
      </w:r>
      <w:r w:rsidR="007C47CE">
        <w:rPr>
          <w:sz w:val="24"/>
          <w:szCs w:val="24"/>
        </w:rPr>
        <w:t xml:space="preserve">il </w:t>
      </w:r>
      <w:r>
        <w:rPr>
          <w:sz w:val="24"/>
          <w:szCs w:val="24"/>
        </w:rPr>
        <w:t>+</w:t>
      </w:r>
      <w:r w:rsidR="007C47CE">
        <w:rPr>
          <w:sz w:val="24"/>
          <w:szCs w:val="24"/>
        </w:rPr>
        <w:t xml:space="preserve"> </w:t>
      </w:r>
      <w:r>
        <w:rPr>
          <w:sz w:val="24"/>
          <w:szCs w:val="24"/>
        </w:rPr>
        <w:t>groupe de travail portail de données</w:t>
      </w:r>
    </w:p>
    <w:p w14:paraId="284CC3EF" w14:textId="199218E4" w:rsidR="00836401" w:rsidRDefault="00836401" w:rsidP="00D5699E">
      <w:pPr>
        <w:pStyle w:val="Paragraphedeliste"/>
        <w:numPr>
          <w:ilvl w:val="1"/>
          <w:numId w:val="115"/>
        </w:numPr>
        <w:jc w:val="both"/>
        <w:rPr>
          <w:sz w:val="24"/>
          <w:szCs w:val="24"/>
        </w:rPr>
      </w:pPr>
      <w:r>
        <w:rPr>
          <w:sz w:val="24"/>
          <w:szCs w:val="24"/>
        </w:rPr>
        <w:t>Temps requis</w:t>
      </w:r>
      <w:r w:rsidR="001E2F4B">
        <w:rPr>
          <w:sz w:val="24"/>
          <w:szCs w:val="24"/>
        </w:rPr>
        <w:t xml:space="preserve"> </w:t>
      </w:r>
      <w:r>
        <w:rPr>
          <w:sz w:val="24"/>
          <w:szCs w:val="24"/>
        </w:rPr>
        <w:t>: 3-6 mois</w:t>
      </w:r>
    </w:p>
    <w:p w14:paraId="24055EAC" w14:textId="39373597" w:rsidR="00836401" w:rsidRDefault="00836401" w:rsidP="00D5699E">
      <w:pPr>
        <w:pStyle w:val="Paragraphedeliste"/>
        <w:numPr>
          <w:ilvl w:val="1"/>
          <w:numId w:val="115"/>
        </w:numPr>
        <w:jc w:val="both"/>
        <w:rPr>
          <w:sz w:val="24"/>
          <w:szCs w:val="24"/>
        </w:rPr>
      </w:pPr>
      <w:r>
        <w:rPr>
          <w:sz w:val="24"/>
          <w:szCs w:val="24"/>
        </w:rPr>
        <w:t>Co</w:t>
      </w:r>
      <w:r w:rsidR="00B45D25">
        <w:rPr>
          <w:sz w:val="24"/>
          <w:szCs w:val="24"/>
        </w:rPr>
        <w:t>û</w:t>
      </w:r>
      <w:r>
        <w:rPr>
          <w:sz w:val="24"/>
          <w:szCs w:val="24"/>
        </w:rPr>
        <w:t>t</w:t>
      </w:r>
      <w:r w:rsidR="001E2F4B">
        <w:rPr>
          <w:sz w:val="24"/>
          <w:szCs w:val="24"/>
        </w:rPr>
        <w:t xml:space="preserve"> </w:t>
      </w:r>
      <w:r>
        <w:rPr>
          <w:sz w:val="24"/>
          <w:szCs w:val="24"/>
        </w:rPr>
        <w:t xml:space="preserve">: </w:t>
      </w:r>
      <w:r w:rsidR="007C47CE">
        <w:rPr>
          <w:sz w:val="24"/>
          <w:szCs w:val="24"/>
        </w:rPr>
        <w:t>L’expertise nécessaire semble exist</w:t>
      </w:r>
      <w:r w:rsidR="002E60D1">
        <w:rPr>
          <w:sz w:val="24"/>
          <w:szCs w:val="24"/>
        </w:rPr>
        <w:t>er</w:t>
      </w:r>
      <w:r w:rsidR="007C47CE">
        <w:rPr>
          <w:sz w:val="24"/>
          <w:szCs w:val="24"/>
        </w:rPr>
        <w:t xml:space="preserve"> et donc aucun co</w:t>
      </w:r>
      <w:r w:rsidR="00B45D25">
        <w:rPr>
          <w:sz w:val="24"/>
          <w:szCs w:val="24"/>
        </w:rPr>
        <w:t>û</w:t>
      </w:r>
      <w:r w:rsidR="007C47CE">
        <w:rPr>
          <w:sz w:val="24"/>
          <w:szCs w:val="24"/>
        </w:rPr>
        <w:t xml:space="preserve">t particulier ne devrait être associé à ce travail à part le temps de travail </w:t>
      </w:r>
      <w:r w:rsidR="002B413B">
        <w:rPr>
          <w:sz w:val="24"/>
          <w:szCs w:val="24"/>
        </w:rPr>
        <w:t>des membres</w:t>
      </w:r>
      <w:r w:rsidR="007C47CE">
        <w:rPr>
          <w:sz w:val="24"/>
          <w:szCs w:val="24"/>
        </w:rPr>
        <w:t xml:space="preserve"> du groupe.</w:t>
      </w:r>
    </w:p>
    <w:p w14:paraId="7D0DC4D2" w14:textId="77777777" w:rsidR="00836401" w:rsidRDefault="00836401" w:rsidP="00D5699E">
      <w:pPr>
        <w:pStyle w:val="Paragraphedeliste"/>
        <w:numPr>
          <w:ilvl w:val="1"/>
          <w:numId w:val="115"/>
        </w:numPr>
        <w:jc w:val="both"/>
        <w:rPr>
          <w:sz w:val="24"/>
          <w:szCs w:val="24"/>
        </w:rPr>
      </w:pPr>
      <w:r>
        <w:rPr>
          <w:sz w:val="24"/>
          <w:szCs w:val="24"/>
        </w:rPr>
        <w:t>Références</w:t>
      </w:r>
    </w:p>
    <w:p w14:paraId="1444B26A" w14:textId="77777777" w:rsidR="00836401" w:rsidRDefault="00836401" w:rsidP="00D5699E">
      <w:pPr>
        <w:pStyle w:val="Paragraphedeliste"/>
        <w:numPr>
          <w:ilvl w:val="2"/>
          <w:numId w:val="115"/>
        </w:numPr>
        <w:jc w:val="both"/>
        <w:rPr>
          <w:sz w:val="24"/>
          <w:szCs w:val="24"/>
        </w:rPr>
      </w:pPr>
      <w:r>
        <w:rPr>
          <w:sz w:val="24"/>
          <w:szCs w:val="24"/>
        </w:rPr>
        <w:t>La boite à outils Open Data de la Banque Mondial – Options technologiques</w:t>
      </w:r>
      <w:r>
        <w:rPr>
          <w:rStyle w:val="Appelnotedebasdep"/>
          <w:sz w:val="24"/>
          <w:szCs w:val="24"/>
        </w:rPr>
        <w:footnoteReference w:id="147"/>
      </w:r>
      <w:r>
        <w:rPr>
          <w:sz w:val="24"/>
          <w:szCs w:val="24"/>
        </w:rPr>
        <w:t xml:space="preserve"> (anglais)</w:t>
      </w:r>
    </w:p>
    <w:p w14:paraId="2A7D4561" w14:textId="77777777" w:rsidR="00836401" w:rsidRDefault="00836401" w:rsidP="00D5699E">
      <w:pPr>
        <w:pStyle w:val="Paragraphedeliste"/>
        <w:numPr>
          <w:ilvl w:val="2"/>
          <w:numId w:val="115"/>
        </w:numPr>
        <w:jc w:val="both"/>
        <w:rPr>
          <w:sz w:val="24"/>
          <w:szCs w:val="24"/>
        </w:rPr>
      </w:pPr>
      <w:r>
        <w:rPr>
          <w:sz w:val="24"/>
          <w:szCs w:val="24"/>
        </w:rPr>
        <w:t>Comparaison de 9 plateformes d’open data</w:t>
      </w:r>
      <w:r>
        <w:rPr>
          <w:rStyle w:val="Appelnotedebasdep"/>
          <w:sz w:val="24"/>
          <w:szCs w:val="24"/>
        </w:rPr>
        <w:footnoteReference w:id="148"/>
      </w:r>
      <w:r>
        <w:rPr>
          <w:sz w:val="24"/>
          <w:szCs w:val="24"/>
        </w:rPr>
        <w:t xml:space="preserve"> (anglais)</w:t>
      </w:r>
    </w:p>
    <w:p w14:paraId="22DB6EE9" w14:textId="77777777" w:rsidR="00836401" w:rsidRDefault="00836401" w:rsidP="00D5699E">
      <w:pPr>
        <w:pStyle w:val="Paragraphedeliste"/>
        <w:numPr>
          <w:ilvl w:val="2"/>
          <w:numId w:val="115"/>
        </w:numPr>
        <w:jc w:val="both"/>
        <w:rPr>
          <w:sz w:val="24"/>
          <w:szCs w:val="24"/>
        </w:rPr>
      </w:pPr>
      <w:r>
        <w:rPr>
          <w:sz w:val="24"/>
          <w:szCs w:val="24"/>
        </w:rPr>
        <w:t>Comparaison de 6 plateformes d’open data</w:t>
      </w:r>
      <w:r>
        <w:rPr>
          <w:rStyle w:val="Appelnotedebasdep"/>
          <w:sz w:val="24"/>
          <w:szCs w:val="24"/>
        </w:rPr>
        <w:t xml:space="preserve"> </w:t>
      </w:r>
      <w:r>
        <w:rPr>
          <w:rStyle w:val="Appelnotedebasdep"/>
          <w:sz w:val="24"/>
          <w:szCs w:val="24"/>
        </w:rPr>
        <w:footnoteReference w:id="149"/>
      </w:r>
    </w:p>
    <w:p w14:paraId="573A9DDC" w14:textId="3D9FE2D8" w:rsidR="00836401" w:rsidRDefault="002B413B" w:rsidP="00D5699E">
      <w:pPr>
        <w:pStyle w:val="Paragraphedeliste"/>
        <w:numPr>
          <w:ilvl w:val="2"/>
          <w:numId w:val="115"/>
        </w:numPr>
        <w:rPr>
          <w:sz w:val="24"/>
          <w:szCs w:val="24"/>
        </w:rPr>
      </w:pPr>
      <w:r>
        <w:rPr>
          <w:sz w:val="24"/>
          <w:szCs w:val="24"/>
        </w:rPr>
        <w:t>Configuration rapide</w:t>
      </w:r>
      <w:r w:rsidR="00836401">
        <w:rPr>
          <w:sz w:val="24"/>
          <w:szCs w:val="24"/>
        </w:rPr>
        <w:t xml:space="preserve"> d’un portail de données</w:t>
      </w:r>
      <w:r w:rsidR="00836401">
        <w:rPr>
          <w:rStyle w:val="Appelnotedebasdep"/>
          <w:sz w:val="24"/>
          <w:szCs w:val="24"/>
        </w:rPr>
        <w:footnoteReference w:id="150"/>
      </w:r>
      <w:r w:rsidR="00836401">
        <w:rPr>
          <w:sz w:val="24"/>
          <w:szCs w:val="24"/>
        </w:rPr>
        <w:t xml:space="preserve"> (anglais)</w:t>
      </w:r>
    </w:p>
    <w:p w14:paraId="651CFC46" w14:textId="77777777" w:rsidR="00836401" w:rsidRDefault="00836401" w:rsidP="00836401">
      <w:pPr>
        <w:pStyle w:val="Paragraphedeliste"/>
        <w:jc w:val="both"/>
        <w:rPr>
          <w:sz w:val="24"/>
          <w:szCs w:val="24"/>
        </w:rPr>
      </w:pPr>
    </w:p>
    <w:p w14:paraId="41C526A3" w14:textId="77777777" w:rsidR="004C4146" w:rsidRDefault="004C4146" w:rsidP="004C4146">
      <w:pPr>
        <w:pStyle w:val="Paragraphedeliste"/>
        <w:rPr>
          <w:sz w:val="24"/>
          <w:szCs w:val="24"/>
        </w:rPr>
      </w:pPr>
    </w:p>
    <w:p w14:paraId="436807F1" w14:textId="77777777" w:rsidR="004C4146" w:rsidRDefault="004C4146" w:rsidP="004C4146">
      <w:pPr>
        <w:pStyle w:val="Sous-titre"/>
        <w:spacing w:before="0" w:after="0"/>
        <w:rPr>
          <w:b/>
          <w:u w:val="single"/>
          <w:lang w:val="fr-FR"/>
        </w:rPr>
      </w:pPr>
      <w:r>
        <w:rPr>
          <w:b/>
          <w:u w:val="single"/>
          <w:lang w:val="fr-FR"/>
        </w:rPr>
        <w:t xml:space="preserve">ACTIONS a MOYEN TERME </w:t>
      </w:r>
    </w:p>
    <w:p w14:paraId="09058265" w14:textId="3F220540" w:rsidR="004C4146" w:rsidRDefault="004C4146" w:rsidP="004C4146">
      <w:pPr>
        <w:jc w:val="both"/>
        <w:rPr>
          <w:sz w:val="24"/>
          <w:szCs w:val="24"/>
        </w:rPr>
      </w:pPr>
      <w:r>
        <w:rPr>
          <w:sz w:val="24"/>
          <w:szCs w:val="24"/>
        </w:rPr>
        <w:t xml:space="preserve">Cette section énumère les actions qui peuvent être démarrées dans les 12 à 24 mois après le lancement de l’initiative mais </w:t>
      </w:r>
      <w:r w:rsidR="002E60D1">
        <w:rPr>
          <w:sz w:val="24"/>
          <w:szCs w:val="24"/>
        </w:rPr>
        <w:t>requièrent</w:t>
      </w:r>
      <w:r>
        <w:rPr>
          <w:sz w:val="24"/>
          <w:szCs w:val="24"/>
        </w:rPr>
        <w:t xml:space="preserve"> l’implémentation des points précédents. Cette section contient aussi des initiatives qui sont utiles à l’ouverture des </w:t>
      </w:r>
      <w:r w:rsidR="009352D9">
        <w:rPr>
          <w:sz w:val="24"/>
          <w:szCs w:val="24"/>
        </w:rPr>
        <w:t>données gouvern</w:t>
      </w:r>
      <w:r w:rsidR="00180AAB">
        <w:rPr>
          <w:sz w:val="24"/>
          <w:szCs w:val="24"/>
        </w:rPr>
        <w:t>e</w:t>
      </w:r>
      <w:r w:rsidR="009352D9">
        <w:rPr>
          <w:sz w:val="24"/>
          <w:szCs w:val="24"/>
        </w:rPr>
        <w:t>mentales</w:t>
      </w:r>
      <w:r w:rsidR="00180AAB">
        <w:rPr>
          <w:sz w:val="24"/>
          <w:szCs w:val="24"/>
        </w:rPr>
        <w:t xml:space="preserve"> </w:t>
      </w:r>
      <w:r>
        <w:rPr>
          <w:sz w:val="24"/>
          <w:szCs w:val="24"/>
        </w:rPr>
        <w:t xml:space="preserve">ou à la réalisation des impacts et des bénéfices attendus mais qui demandent un effort plus conséquent que les actions incluses dans la section précédente. </w:t>
      </w:r>
    </w:p>
    <w:p w14:paraId="33680800" w14:textId="5DF6E74A" w:rsidR="004C4146" w:rsidRDefault="004C4146" w:rsidP="004C4146">
      <w:pPr>
        <w:pStyle w:val="Sous-titre"/>
        <w:spacing w:before="0" w:after="0"/>
        <w:rPr>
          <w:lang w:val="fr-FR"/>
        </w:rPr>
      </w:pPr>
    </w:p>
    <w:p w14:paraId="6EE7257F" w14:textId="77777777" w:rsidR="004C4146" w:rsidRDefault="004C4146" w:rsidP="004C4146">
      <w:pPr>
        <w:pStyle w:val="Sous-titre"/>
        <w:spacing w:before="0" w:after="0"/>
        <w:rPr>
          <w:lang w:val="fr-FR"/>
        </w:rPr>
      </w:pPr>
      <w:r>
        <w:rPr>
          <w:lang w:val="fr-FR"/>
        </w:rPr>
        <w:t>STRUCTURES INSTITUTIONNELLES, RESPONSABILITES ET COMPETENCES AU SEIN DU GOUVERNEMENT</w:t>
      </w:r>
    </w:p>
    <w:p w14:paraId="34967598" w14:textId="77777777" w:rsidR="004C4146" w:rsidRDefault="004C4146" w:rsidP="004C4146">
      <w:pPr>
        <w:pStyle w:val="Sous-titre"/>
        <w:spacing w:before="0" w:after="0"/>
        <w:rPr>
          <w:lang w:val="fr-FR"/>
        </w:rPr>
      </w:pPr>
    </w:p>
    <w:p w14:paraId="0B2A16D2" w14:textId="77777777" w:rsidR="004C4146" w:rsidRDefault="004C4146" w:rsidP="00D5699E">
      <w:pPr>
        <w:pStyle w:val="Paragraphedeliste"/>
        <w:numPr>
          <w:ilvl w:val="0"/>
          <w:numId w:val="115"/>
        </w:numPr>
        <w:jc w:val="both"/>
        <w:rPr>
          <w:b/>
          <w:sz w:val="24"/>
          <w:szCs w:val="24"/>
        </w:rPr>
      </w:pPr>
      <w:r>
        <w:rPr>
          <w:b/>
          <w:sz w:val="24"/>
          <w:szCs w:val="24"/>
        </w:rPr>
        <w:t xml:space="preserve">Expansion de l’initiative à toutes les agences et ministères incluant des actions de sensibilisation et le renforcement des capacités </w:t>
      </w:r>
    </w:p>
    <w:p w14:paraId="68BA3E85" w14:textId="770C04A9" w:rsidR="004C4146" w:rsidRDefault="004C4146" w:rsidP="00D5699E">
      <w:pPr>
        <w:pStyle w:val="Paragraphedeliste"/>
        <w:numPr>
          <w:ilvl w:val="1"/>
          <w:numId w:val="115"/>
        </w:numPr>
        <w:jc w:val="both"/>
        <w:rPr>
          <w:sz w:val="24"/>
          <w:szCs w:val="24"/>
        </w:rPr>
      </w:pPr>
      <w:r>
        <w:rPr>
          <w:sz w:val="24"/>
          <w:szCs w:val="24"/>
        </w:rPr>
        <w:t>Prérequis</w:t>
      </w:r>
      <w:r w:rsidR="00180AAB">
        <w:rPr>
          <w:sz w:val="24"/>
          <w:szCs w:val="24"/>
        </w:rPr>
        <w:t xml:space="preserve"> </w:t>
      </w:r>
      <w:r>
        <w:rPr>
          <w:sz w:val="24"/>
          <w:szCs w:val="24"/>
        </w:rPr>
        <w:t xml:space="preserve">: </w:t>
      </w:r>
      <w:r w:rsidR="00836401">
        <w:rPr>
          <w:sz w:val="24"/>
          <w:szCs w:val="24"/>
        </w:rPr>
        <w:t xml:space="preserve">équipe technique d’appui en place, </w:t>
      </w:r>
      <w:r>
        <w:rPr>
          <w:sz w:val="24"/>
          <w:szCs w:val="24"/>
        </w:rPr>
        <w:t>premier cas d’utilisation et d’impact dans les agences précurseuses établi</w:t>
      </w:r>
      <w:r w:rsidR="002E60D1">
        <w:rPr>
          <w:sz w:val="24"/>
          <w:szCs w:val="24"/>
        </w:rPr>
        <w:t>e</w:t>
      </w:r>
      <w:r>
        <w:rPr>
          <w:sz w:val="24"/>
          <w:szCs w:val="24"/>
        </w:rPr>
        <w:t xml:space="preserve">s </w:t>
      </w:r>
    </w:p>
    <w:p w14:paraId="4BFD520D" w14:textId="3A194F98" w:rsidR="004C4146" w:rsidRDefault="004C4146" w:rsidP="00D5699E">
      <w:pPr>
        <w:pStyle w:val="Paragraphedeliste"/>
        <w:numPr>
          <w:ilvl w:val="1"/>
          <w:numId w:val="115"/>
        </w:numPr>
        <w:jc w:val="both"/>
        <w:rPr>
          <w:sz w:val="24"/>
          <w:szCs w:val="24"/>
        </w:rPr>
      </w:pPr>
      <w:r>
        <w:rPr>
          <w:sz w:val="24"/>
          <w:szCs w:val="24"/>
        </w:rPr>
        <w:t>Responsabilité</w:t>
      </w:r>
      <w:r w:rsidR="00180AAB">
        <w:rPr>
          <w:sz w:val="24"/>
          <w:szCs w:val="24"/>
        </w:rPr>
        <w:t xml:space="preserve"> </w:t>
      </w:r>
      <w:r>
        <w:rPr>
          <w:sz w:val="24"/>
          <w:szCs w:val="24"/>
        </w:rPr>
        <w:t>: C</w:t>
      </w:r>
      <w:r w:rsidR="00836401">
        <w:rPr>
          <w:sz w:val="24"/>
          <w:szCs w:val="24"/>
        </w:rPr>
        <w:t>o</w:t>
      </w:r>
      <w:r>
        <w:rPr>
          <w:sz w:val="24"/>
          <w:szCs w:val="24"/>
        </w:rPr>
        <w:t>P</w:t>
      </w:r>
      <w:r w:rsidR="00836401">
        <w:rPr>
          <w:sz w:val="24"/>
          <w:szCs w:val="24"/>
        </w:rPr>
        <w:t>il</w:t>
      </w:r>
    </w:p>
    <w:p w14:paraId="50419F7A" w14:textId="14691603" w:rsidR="004C4146" w:rsidRDefault="004C4146" w:rsidP="00D5699E">
      <w:pPr>
        <w:pStyle w:val="Paragraphedeliste"/>
        <w:numPr>
          <w:ilvl w:val="1"/>
          <w:numId w:val="115"/>
        </w:numPr>
        <w:jc w:val="both"/>
        <w:rPr>
          <w:sz w:val="24"/>
          <w:szCs w:val="24"/>
        </w:rPr>
      </w:pPr>
      <w:r>
        <w:rPr>
          <w:sz w:val="24"/>
          <w:szCs w:val="24"/>
        </w:rPr>
        <w:t>Temps Requis</w:t>
      </w:r>
      <w:r w:rsidR="00180AAB">
        <w:rPr>
          <w:sz w:val="24"/>
          <w:szCs w:val="24"/>
        </w:rPr>
        <w:t xml:space="preserve"> </w:t>
      </w:r>
      <w:r>
        <w:rPr>
          <w:sz w:val="24"/>
          <w:szCs w:val="24"/>
        </w:rPr>
        <w:t>: 6-9 mois</w:t>
      </w:r>
    </w:p>
    <w:p w14:paraId="008FF499" w14:textId="77CCCE42" w:rsidR="004C4146" w:rsidRDefault="004C4146" w:rsidP="00D5699E">
      <w:pPr>
        <w:pStyle w:val="Paragraphedeliste"/>
        <w:numPr>
          <w:ilvl w:val="1"/>
          <w:numId w:val="115"/>
        </w:numPr>
        <w:jc w:val="both"/>
        <w:rPr>
          <w:sz w:val="24"/>
          <w:szCs w:val="24"/>
        </w:rPr>
      </w:pPr>
      <w:r>
        <w:rPr>
          <w:sz w:val="24"/>
          <w:szCs w:val="24"/>
        </w:rPr>
        <w:t>Co</w:t>
      </w:r>
      <w:r w:rsidR="00B45D25">
        <w:rPr>
          <w:sz w:val="24"/>
          <w:szCs w:val="24"/>
        </w:rPr>
        <w:t>û</w:t>
      </w:r>
      <w:r>
        <w:rPr>
          <w:sz w:val="24"/>
          <w:szCs w:val="24"/>
        </w:rPr>
        <w:t>t</w:t>
      </w:r>
      <w:r w:rsidR="00180AAB">
        <w:rPr>
          <w:sz w:val="24"/>
          <w:szCs w:val="24"/>
        </w:rPr>
        <w:t xml:space="preserve"> </w:t>
      </w:r>
      <w:r>
        <w:rPr>
          <w:sz w:val="24"/>
          <w:szCs w:val="24"/>
        </w:rPr>
        <w:t>: Les co</w:t>
      </w:r>
      <w:r w:rsidR="00B45D25">
        <w:rPr>
          <w:sz w:val="24"/>
          <w:szCs w:val="24"/>
        </w:rPr>
        <w:t>û</w:t>
      </w:r>
      <w:r>
        <w:rPr>
          <w:sz w:val="24"/>
          <w:szCs w:val="24"/>
        </w:rPr>
        <w:t xml:space="preserve">ts sont similaires à ceux </w:t>
      </w:r>
      <w:r w:rsidR="002E60D1">
        <w:rPr>
          <w:sz w:val="24"/>
          <w:szCs w:val="24"/>
        </w:rPr>
        <w:t xml:space="preserve">décrits </w:t>
      </w:r>
      <w:r>
        <w:rPr>
          <w:sz w:val="24"/>
          <w:szCs w:val="24"/>
        </w:rPr>
        <w:t>pour les précurseurs</w:t>
      </w:r>
    </w:p>
    <w:p w14:paraId="2DA74CED" w14:textId="77777777" w:rsidR="004C4146" w:rsidRDefault="004C4146" w:rsidP="004C4146">
      <w:pPr>
        <w:pStyle w:val="Sous-titre"/>
        <w:spacing w:before="0" w:after="0"/>
        <w:rPr>
          <w:lang w:val="fr-FR"/>
        </w:rPr>
      </w:pPr>
      <w:r>
        <w:rPr>
          <w:lang w:val="fr-FR"/>
        </w:rPr>
        <w:t>DONNEES AU SEIN DU GOUVERNEMENT, REGLEMENTATIONS ET PROCEDURES DE LA GESTION DES DONNEES GOUVERNEMENTALES</w:t>
      </w:r>
    </w:p>
    <w:p w14:paraId="063EF48C" w14:textId="57CFA1D6" w:rsidR="004C4146" w:rsidRDefault="004C4146" w:rsidP="00D5699E">
      <w:pPr>
        <w:pStyle w:val="Paragraphedeliste"/>
        <w:numPr>
          <w:ilvl w:val="0"/>
          <w:numId w:val="115"/>
        </w:numPr>
        <w:jc w:val="both"/>
        <w:rPr>
          <w:b/>
          <w:sz w:val="24"/>
          <w:szCs w:val="24"/>
        </w:rPr>
      </w:pPr>
      <w:r>
        <w:rPr>
          <w:b/>
          <w:sz w:val="24"/>
          <w:szCs w:val="24"/>
        </w:rPr>
        <w:t xml:space="preserve">Mise en place de processus automatisés de publication des jeux de données au sein des agences. </w:t>
      </w:r>
      <w:r>
        <w:rPr>
          <w:sz w:val="24"/>
          <w:szCs w:val="24"/>
        </w:rPr>
        <w:t>Cet élément requiert à la fois la mise en place d’API sur le</w:t>
      </w:r>
      <w:r w:rsidR="00836401">
        <w:rPr>
          <w:sz w:val="24"/>
          <w:szCs w:val="24"/>
        </w:rPr>
        <w:t>s</w:t>
      </w:r>
      <w:r>
        <w:rPr>
          <w:sz w:val="24"/>
          <w:szCs w:val="24"/>
        </w:rPr>
        <w:t xml:space="preserve"> </w:t>
      </w:r>
      <w:r w:rsidR="007C47CE">
        <w:rPr>
          <w:sz w:val="24"/>
          <w:szCs w:val="24"/>
        </w:rPr>
        <w:t>portails</w:t>
      </w:r>
      <w:r>
        <w:rPr>
          <w:sz w:val="24"/>
          <w:szCs w:val="24"/>
        </w:rPr>
        <w:t xml:space="preserve"> et l’implémentation de passerelle</w:t>
      </w:r>
      <w:r w:rsidR="002E60D1">
        <w:rPr>
          <w:sz w:val="24"/>
          <w:szCs w:val="24"/>
        </w:rPr>
        <w:t>s</w:t>
      </w:r>
      <w:r>
        <w:rPr>
          <w:sz w:val="24"/>
          <w:szCs w:val="24"/>
        </w:rPr>
        <w:t xml:space="preserve"> entre les systèmes d’informations des ministères et le</w:t>
      </w:r>
      <w:r w:rsidR="00867B70">
        <w:rPr>
          <w:sz w:val="24"/>
          <w:szCs w:val="24"/>
        </w:rPr>
        <w:t>s</w:t>
      </w:r>
      <w:r>
        <w:rPr>
          <w:sz w:val="24"/>
          <w:szCs w:val="24"/>
        </w:rPr>
        <w:t xml:space="preserve"> portail</w:t>
      </w:r>
      <w:r w:rsidR="00867B70">
        <w:rPr>
          <w:sz w:val="24"/>
          <w:szCs w:val="24"/>
        </w:rPr>
        <w:t>s</w:t>
      </w:r>
    </w:p>
    <w:p w14:paraId="383852AC" w14:textId="17303B6C" w:rsidR="004C4146" w:rsidRDefault="004C4146" w:rsidP="00D5699E">
      <w:pPr>
        <w:pStyle w:val="Paragraphedeliste"/>
        <w:numPr>
          <w:ilvl w:val="1"/>
          <w:numId w:val="115"/>
        </w:numPr>
        <w:jc w:val="both"/>
        <w:rPr>
          <w:sz w:val="24"/>
          <w:szCs w:val="24"/>
        </w:rPr>
      </w:pPr>
      <w:r>
        <w:rPr>
          <w:sz w:val="24"/>
          <w:szCs w:val="24"/>
        </w:rPr>
        <w:t>Responsabilité</w:t>
      </w:r>
      <w:r w:rsidR="00867B70">
        <w:rPr>
          <w:sz w:val="24"/>
          <w:szCs w:val="24"/>
        </w:rPr>
        <w:t xml:space="preserve"> </w:t>
      </w:r>
      <w:r>
        <w:rPr>
          <w:sz w:val="24"/>
          <w:szCs w:val="24"/>
        </w:rPr>
        <w:t>: C</w:t>
      </w:r>
      <w:r w:rsidR="00836401">
        <w:rPr>
          <w:sz w:val="24"/>
          <w:szCs w:val="24"/>
        </w:rPr>
        <w:t>o</w:t>
      </w:r>
      <w:r>
        <w:rPr>
          <w:sz w:val="24"/>
          <w:szCs w:val="24"/>
        </w:rPr>
        <w:t>P</w:t>
      </w:r>
      <w:r w:rsidR="00836401">
        <w:rPr>
          <w:sz w:val="24"/>
          <w:szCs w:val="24"/>
        </w:rPr>
        <w:t>il</w:t>
      </w:r>
      <w:r>
        <w:rPr>
          <w:sz w:val="24"/>
          <w:szCs w:val="24"/>
        </w:rPr>
        <w:t xml:space="preserve"> + </w:t>
      </w:r>
      <w:r w:rsidR="00836401">
        <w:rPr>
          <w:sz w:val="24"/>
          <w:szCs w:val="24"/>
        </w:rPr>
        <w:t>équipe technique</w:t>
      </w:r>
    </w:p>
    <w:p w14:paraId="63C86E55" w14:textId="553B32CA" w:rsidR="004C4146" w:rsidRDefault="004C4146" w:rsidP="00D5699E">
      <w:pPr>
        <w:pStyle w:val="Paragraphedeliste"/>
        <w:numPr>
          <w:ilvl w:val="1"/>
          <w:numId w:val="115"/>
        </w:numPr>
        <w:jc w:val="both"/>
        <w:rPr>
          <w:sz w:val="24"/>
          <w:szCs w:val="24"/>
        </w:rPr>
      </w:pPr>
      <w:r>
        <w:rPr>
          <w:sz w:val="24"/>
          <w:szCs w:val="24"/>
        </w:rPr>
        <w:t>Temps Requis</w:t>
      </w:r>
      <w:r w:rsidR="00867B70">
        <w:rPr>
          <w:sz w:val="24"/>
          <w:szCs w:val="24"/>
        </w:rPr>
        <w:t xml:space="preserve"> </w:t>
      </w:r>
      <w:r>
        <w:rPr>
          <w:sz w:val="24"/>
          <w:szCs w:val="24"/>
        </w:rPr>
        <w:t>: 5-10 mois</w:t>
      </w:r>
    </w:p>
    <w:p w14:paraId="1B3D8CF2" w14:textId="686AB4F5" w:rsidR="004C4146" w:rsidRDefault="004C4146" w:rsidP="00D5699E">
      <w:pPr>
        <w:pStyle w:val="Paragraphedeliste"/>
        <w:numPr>
          <w:ilvl w:val="1"/>
          <w:numId w:val="115"/>
        </w:numPr>
        <w:jc w:val="both"/>
        <w:rPr>
          <w:sz w:val="24"/>
          <w:szCs w:val="24"/>
        </w:rPr>
      </w:pPr>
      <w:r>
        <w:rPr>
          <w:sz w:val="24"/>
          <w:szCs w:val="24"/>
        </w:rPr>
        <w:t>Co</w:t>
      </w:r>
      <w:r w:rsidR="00B45D25">
        <w:rPr>
          <w:sz w:val="24"/>
          <w:szCs w:val="24"/>
        </w:rPr>
        <w:t>û</w:t>
      </w:r>
      <w:r>
        <w:rPr>
          <w:sz w:val="24"/>
          <w:szCs w:val="24"/>
        </w:rPr>
        <w:t>t</w:t>
      </w:r>
      <w:r w:rsidR="00867B70">
        <w:rPr>
          <w:sz w:val="24"/>
          <w:szCs w:val="24"/>
        </w:rPr>
        <w:t xml:space="preserve"> </w:t>
      </w:r>
      <w:r>
        <w:rPr>
          <w:sz w:val="24"/>
          <w:szCs w:val="24"/>
        </w:rPr>
        <w:t>: Les co</w:t>
      </w:r>
      <w:r w:rsidR="00B45D25">
        <w:rPr>
          <w:sz w:val="24"/>
          <w:szCs w:val="24"/>
        </w:rPr>
        <w:t>û</w:t>
      </w:r>
      <w:r>
        <w:rPr>
          <w:sz w:val="24"/>
          <w:szCs w:val="24"/>
        </w:rPr>
        <w:t>ts proviennent principalement du développement des passerelles et dépendent largement des capacités des systèmes d’information en place.</w:t>
      </w:r>
    </w:p>
    <w:p w14:paraId="004EB567" w14:textId="77777777" w:rsidR="004C4146" w:rsidRDefault="004C4146" w:rsidP="004C4146">
      <w:pPr>
        <w:jc w:val="both"/>
        <w:rPr>
          <w:sz w:val="24"/>
          <w:szCs w:val="24"/>
        </w:rPr>
      </w:pPr>
    </w:p>
    <w:p w14:paraId="6691E5C4" w14:textId="24D5C9B3" w:rsidR="004C4146" w:rsidRDefault="004C4146" w:rsidP="004C4146">
      <w:pPr>
        <w:pStyle w:val="Sous-titre"/>
        <w:spacing w:before="0" w:after="0"/>
        <w:rPr>
          <w:b/>
          <w:u w:val="single"/>
          <w:lang w:val="fr-FR"/>
        </w:rPr>
      </w:pPr>
      <w:r>
        <w:rPr>
          <w:b/>
          <w:u w:val="single"/>
          <w:lang w:val="fr-FR"/>
        </w:rPr>
        <w:t>ACTION</w:t>
      </w:r>
      <w:r w:rsidR="00F72866">
        <w:rPr>
          <w:b/>
          <w:u w:val="single"/>
          <w:lang w:val="fr-FR"/>
        </w:rPr>
        <w:t>s</w:t>
      </w:r>
      <w:r>
        <w:rPr>
          <w:b/>
          <w:u w:val="single"/>
          <w:lang w:val="fr-FR"/>
        </w:rPr>
        <w:t xml:space="preserve"> à Long</w:t>
      </w:r>
      <w:r w:rsidR="00F72866">
        <w:rPr>
          <w:b/>
          <w:u w:val="single"/>
          <w:lang w:val="fr-FR"/>
        </w:rPr>
        <w:t xml:space="preserve"> </w:t>
      </w:r>
      <w:r>
        <w:rPr>
          <w:b/>
          <w:u w:val="single"/>
          <w:lang w:val="fr-FR"/>
        </w:rPr>
        <w:t>terme</w:t>
      </w:r>
    </w:p>
    <w:p w14:paraId="06288502" w14:textId="14CB9ED6" w:rsidR="004C4146" w:rsidRDefault="004C4146" w:rsidP="004C4146">
      <w:pPr>
        <w:jc w:val="both"/>
        <w:rPr>
          <w:sz w:val="24"/>
          <w:szCs w:val="24"/>
        </w:rPr>
      </w:pPr>
      <w:r>
        <w:rPr>
          <w:sz w:val="24"/>
          <w:szCs w:val="24"/>
        </w:rPr>
        <w:t>Cette section énumère les actions qui impactent une initiative d’ouverture des données mais qui peuvent être mis</w:t>
      </w:r>
      <w:r w:rsidR="002E60D1">
        <w:rPr>
          <w:sz w:val="24"/>
          <w:szCs w:val="24"/>
        </w:rPr>
        <w:t>es</w:t>
      </w:r>
      <w:r>
        <w:rPr>
          <w:sz w:val="24"/>
          <w:szCs w:val="24"/>
        </w:rPr>
        <w:t xml:space="preserve"> en place dans une seconde phase, qui requi</w:t>
      </w:r>
      <w:r w:rsidR="002E60D1">
        <w:rPr>
          <w:sz w:val="24"/>
          <w:szCs w:val="24"/>
        </w:rPr>
        <w:t>è</w:t>
      </w:r>
      <w:r>
        <w:rPr>
          <w:sz w:val="24"/>
          <w:szCs w:val="24"/>
        </w:rPr>
        <w:t>r</w:t>
      </w:r>
      <w:r w:rsidR="002E60D1">
        <w:rPr>
          <w:sz w:val="24"/>
          <w:szCs w:val="24"/>
        </w:rPr>
        <w:t>en</w:t>
      </w:r>
      <w:r>
        <w:rPr>
          <w:sz w:val="24"/>
          <w:szCs w:val="24"/>
        </w:rPr>
        <w:t xml:space="preserve">t des investissements plus conséquents, ou qui nécessitent un temps important de mise en œuvre. </w:t>
      </w:r>
    </w:p>
    <w:p w14:paraId="79B30C90" w14:textId="77777777" w:rsidR="004C4146" w:rsidRDefault="004C4146" w:rsidP="004C4146">
      <w:pPr>
        <w:spacing w:after="0"/>
        <w:rPr>
          <w:rFonts w:eastAsiaTheme="minorEastAsia"/>
          <w:caps/>
          <w:color w:val="595959" w:themeColor="text1" w:themeTint="A6"/>
          <w:spacing w:val="10"/>
          <w:sz w:val="24"/>
          <w:szCs w:val="24"/>
        </w:rPr>
      </w:pPr>
    </w:p>
    <w:p w14:paraId="64F5E0EE" w14:textId="77777777" w:rsidR="004C4146" w:rsidRDefault="004C4146" w:rsidP="004C4146">
      <w:pPr>
        <w:spacing w:after="0"/>
      </w:pPr>
      <w:r>
        <w:rPr>
          <w:rFonts w:eastAsiaTheme="minorEastAsia"/>
          <w:caps/>
          <w:color w:val="595959" w:themeColor="text1" w:themeTint="A6"/>
          <w:spacing w:val="10"/>
          <w:sz w:val="24"/>
          <w:szCs w:val="24"/>
        </w:rPr>
        <w:t xml:space="preserve">INFRASTRUCTURES NATIONALES TECHNOLOGIQUES ET COMPETENCES INFORMATIQUES </w:t>
      </w:r>
    </w:p>
    <w:p w14:paraId="6BADE461" w14:textId="4C362837" w:rsidR="004C4146" w:rsidRDefault="004C4146" w:rsidP="00D5699E">
      <w:pPr>
        <w:pStyle w:val="Paragraphedeliste"/>
        <w:numPr>
          <w:ilvl w:val="0"/>
          <w:numId w:val="116"/>
        </w:numPr>
        <w:jc w:val="both"/>
        <w:rPr>
          <w:sz w:val="24"/>
          <w:szCs w:val="24"/>
        </w:rPr>
      </w:pPr>
      <w:r>
        <w:rPr>
          <w:b/>
          <w:sz w:val="24"/>
          <w:szCs w:val="24"/>
        </w:rPr>
        <w:t>Mise en place d</w:t>
      </w:r>
      <w:r w:rsidR="007C47CE">
        <w:rPr>
          <w:b/>
          <w:sz w:val="24"/>
          <w:szCs w:val="24"/>
        </w:rPr>
        <w:t xml:space="preserve">e </w:t>
      </w:r>
      <w:r>
        <w:rPr>
          <w:b/>
          <w:sz w:val="24"/>
          <w:szCs w:val="24"/>
        </w:rPr>
        <w:t>cursus universitaire</w:t>
      </w:r>
      <w:r w:rsidR="002E60D1">
        <w:rPr>
          <w:b/>
          <w:sz w:val="24"/>
          <w:szCs w:val="24"/>
        </w:rPr>
        <w:t>s</w:t>
      </w:r>
      <w:r>
        <w:rPr>
          <w:b/>
          <w:sz w:val="24"/>
          <w:szCs w:val="24"/>
        </w:rPr>
        <w:t xml:space="preserve"> sur la gestion de données et l’Open Data</w:t>
      </w:r>
      <w:r>
        <w:rPr>
          <w:sz w:val="24"/>
          <w:szCs w:val="24"/>
        </w:rPr>
        <w:t xml:space="preserve">. </w:t>
      </w:r>
      <w:r w:rsidR="007C47CE">
        <w:rPr>
          <w:sz w:val="24"/>
          <w:szCs w:val="24"/>
        </w:rPr>
        <w:t xml:space="preserve">Il conviendrait d’intégrer des cursus sur l’Open Data dans les établissements techniques comme l’INSAT pour former des étudiants sachant exploiter les données publiées et </w:t>
      </w:r>
      <w:r w:rsidR="002B413B">
        <w:rPr>
          <w:sz w:val="24"/>
          <w:szCs w:val="24"/>
        </w:rPr>
        <w:t>sachant</w:t>
      </w:r>
      <w:r w:rsidR="007C47CE">
        <w:rPr>
          <w:sz w:val="24"/>
          <w:szCs w:val="24"/>
        </w:rPr>
        <w:t xml:space="preserve"> également mettre en place et gérer des portails. Il conviendrait également d’intégrer des </w:t>
      </w:r>
      <w:r w:rsidR="00895E17">
        <w:rPr>
          <w:sz w:val="24"/>
          <w:szCs w:val="24"/>
        </w:rPr>
        <w:t xml:space="preserve">modules </w:t>
      </w:r>
      <w:r w:rsidR="007C47CE">
        <w:rPr>
          <w:sz w:val="24"/>
          <w:szCs w:val="24"/>
        </w:rPr>
        <w:t xml:space="preserve">Open Data dans les établissements comme l’ENA qui forment les cadres de la fonction publique afin de les sensibiliser à l’ouverture des </w:t>
      </w:r>
      <w:r w:rsidR="00C33725">
        <w:rPr>
          <w:sz w:val="24"/>
          <w:szCs w:val="24"/>
        </w:rPr>
        <w:t>données</w:t>
      </w:r>
      <w:r w:rsidR="007C47CE">
        <w:rPr>
          <w:sz w:val="24"/>
          <w:szCs w:val="24"/>
        </w:rPr>
        <w:t xml:space="preserve"> et aux bénéfices de l’Open Data.</w:t>
      </w:r>
      <w:r>
        <w:t xml:space="preserve"> </w:t>
      </w:r>
    </w:p>
    <w:p w14:paraId="091F5E6B" w14:textId="41F5433F" w:rsidR="004C4146" w:rsidRDefault="004C4146" w:rsidP="00D5699E">
      <w:pPr>
        <w:pStyle w:val="Paragraphedeliste"/>
        <w:numPr>
          <w:ilvl w:val="1"/>
          <w:numId w:val="116"/>
        </w:numPr>
        <w:jc w:val="both"/>
        <w:rPr>
          <w:sz w:val="24"/>
          <w:szCs w:val="24"/>
        </w:rPr>
      </w:pPr>
      <w:r>
        <w:rPr>
          <w:sz w:val="24"/>
          <w:szCs w:val="24"/>
        </w:rPr>
        <w:t>Responsabilité</w:t>
      </w:r>
      <w:r w:rsidR="00867B70">
        <w:rPr>
          <w:sz w:val="24"/>
          <w:szCs w:val="24"/>
        </w:rPr>
        <w:t xml:space="preserve"> </w:t>
      </w:r>
      <w:r>
        <w:rPr>
          <w:sz w:val="24"/>
          <w:szCs w:val="24"/>
        </w:rPr>
        <w:t>: C</w:t>
      </w:r>
      <w:r w:rsidR="007C47CE">
        <w:rPr>
          <w:sz w:val="24"/>
          <w:szCs w:val="24"/>
        </w:rPr>
        <w:t>o</w:t>
      </w:r>
      <w:r>
        <w:rPr>
          <w:sz w:val="24"/>
          <w:szCs w:val="24"/>
        </w:rPr>
        <w:t>P</w:t>
      </w:r>
      <w:r w:rsidR="007C47CE">
        <w:rPr>
          <w:sz w:val="24"/>
          <w:szCs w:val="24"/>
        </w:rPr>
        <w:t>il</w:t>
      </w:r>
      <w:r w:rsidR="00A113C0">
        <w:rPr>
          <w:sz w:val="24"/>
          <w:szCs w:val="24"/>
        </w:rPr>
        <w:t xml:space="preserve"> </w:t>
      </w:r>
      <w:r>
        <w:rPr>
          <w:sz w:val="24"/>
          <w:szCs w:val="24"/>
        </w:rPr>
        <w:t>+</w:t>
      </w:r>
      <w:r w:rsidR="00A113C0">
        <w:rPr>
          <w:sz w:val="24"/>
          <w:szCs w:val="24"/>
        </w:rPr>
        <w:t xml:space="preserve"> </w:t>
      </w:r>
      <w:r w:rsidR="007C47CE">
        <w:rPr>
          <w:sz w:val="24"/>
          <w:szCs w:val="24"/>
        </w:rPr>
        <w:t>groupe de travail dédié</w:t>
      </w:r>
    </w:p>
    <w:p w14:paraId="1375E80B" w14:textId="083E6DFA" w:rsidR="004C4146" w:rsidRDefault="004C4146" w:rsidP="00D5699E">
      <w:pPr>
        <w:pStyle w:val="Paragraphedeliste"/>
        <w:numPr>
          <w:ilvl w:val="1"/>
          <w:numId w:val="116"/>
        </w:numPr>
        <w:jc w:val="both"/>
        <w:rPr>
          <w:sz w:val="24"/>
          <w:szCs w:val="24"/>
        </w:rPr>
      </w:pPr>
      <w:r>
        <w:rPr>
          <w:sz w:val="24"/>
          <w:szCs w:val="24"/>
        </w:rPr>
        <w:t>Temps Requis</w:t>
      </w:r>
      <w:r w:rsidR="00867B70">
        <w:rPr>
          <w:sz w:val="24"/>
          <w:szCs w:val="24"/>
        </w:rPr>
        <w:t xml:space="preserve"> </w:t>
      </w:r>
      <w:r>
        <w:rPr>
          <w:sz w:val="24"/>
          <w:szCs w:val="24"/>
        </w:rPr>
        <w:t>: 9-12mois</w:t>
      </w:r>
    </w:p>
    <w:p w14:paraId="7FCD6971" w14:textId="5588A1FF" w:rsidR="004C4146" w:rsidRPr="003A1B05" w:rsidRDefault="004C4146" w:rsidP="00D5699E">
      <w:pPr>
        <w:pStyle w:val="Paragraphedeliste"/>
        <w:numPr>
          <w:ilvl w:val="1"/>
          <w:numId w:val="116"/>
        </w:numPr>
        <w:jc w:val="both"/>
        <w:rPr>
          <w:sz w:val="24"/>
          <w:szCs w:val="24"/>
        </w:rPr>
      </w:pPr>
      <w:r>
        <w:rPr>
          <w:sz w:val="24"/>
          <w:szCs w:val="24"/>
        </w:rPr>
        <w:t>Co</w:t>
      </w:r>
      <w:r w:rsidR="00B45D25">
        <w:rPr>
          <w:sz w:val="24"/>
          <w:szCs w:val="24"/>
        </w:rPr>
        <w:t>û</w:t>
      </w:r>
      <w:r>
        <w:rPr>
          <w:sz w:val="24"/>
          <w:szCs w:val="24"/>
        </w:rPr>
        <w:t>t</w:t>
      </w:r>
      <w:r w:rsidR="00867B70">
        <w:rPr>
          <w:sz w:val="24"/>
          <w:szCs w:val="24"/>
        </w:rPr>
        <w:t xml:space="preserve"> </w:t>
      </w:r>
      <w:r>
        <w:rPr>
          <w:sz w:val="24"/>
          <w:szCs w:val="24"/>
        </w:rPr>
        <w:t>: Difficilement évaluable en fonction des capacités des enseignants-chercheurs en place</w:t>
      </w:r>
      <w:r w:rsidR="002E60D1">
        <w:rPr>
          <w:sz w:val="24"/>
          <w:szCs w:val="24"/>
        </w:rPr>
        <w:t>,</w:t>
      </w:r>
      <w:r>
        <w:rPr>
          <w:sz w:val="24"/>
          <w:szCs w:val="24"/>
        </w:rPr>
        <w:t xml:space="preserve"> un renforcement de capacités pourrait être requis</w:t>
      </w:r>
    </w:p>
    <w:p w14:paraId="0652FEC1" w14:textId="07B91618" w:rsidR="004C4146" w:rsidRDefault="004C4146" w:rsidP="004C4146">
      <w:pPr>
        <w:spacing w:after="0"/>
      </w:pPr>
      <w:r>
        <w:rPr>
          <w:rFonts w:eastAsiaTheme="minorEastAsia"/>
          <w:caps/>
          <w:color w:val="595959" w:themeColor="text1" w:themeTint="A6"/>
          <w:spacing w:val="10"/>
          <w:sz w:val="24"/>
          <w:szCs w:val="24"/>
        </w:rPr>
        <w:t>DEMANDE CONCERNANT L’OUVERTURE DES DONNEES PUBLIQUES &amp; ENGAGEMENT CITOYEN ET CAPACITES CONCERNANT LES DONNEES PUBLIQUES</w:t>
      </w:r>
    </w:p>
    <w:p w14:paraId="3903D867" w14:textId="629145FF" w:rsidR="004C4146" w:rsidRDefault="004C4146" w:rsidP="00D5699E">
      <w:pPr>
        <w:pStyle w:val="Paragraphedeliste"/>
        <w:numPr>
          <w:ilvl w:val="0"/>
          <w:numId w:val="117"/>
        </w:numPr>
        <w:jc w:val="both"/>
        <w:rPr>
          <w:sz w:val="24"/>
          <w:szCs w:val="24"/>
        </w:rPr>
      </w:pPr>
      <w:r>
        <w:rPr>
          <w:b/>
          <w:sz w:val="24"/>
          <w:szCs w:val="24"/>
        </w:rPr>
        <w:t xml:space="preserve">Renforcement des capacités internes des </w:t>
      </w:r>
      <w:r w:rsidR="007C47CE">
        <w:rPr>
          <w:b/>
          <w:sz w:val="24"/>
          <w:szCs w:val="24"/>
        </w:rPr>
        <w:t>médias</w:t>
      </w:r>
      <w:r>
        <w:rPr>
          <w:b/>
          <w:sz w:val="24"/>
          <w:szCs w:val="24"/>
        </w:rPr>
        <w:t xml:space="preserve"> et des organisations de la société civile</w:t>
      </w:r>
      <w:r>
        <w:rPr>
          <w:sz w:val="24"/>
          <w:szCs w:val="24"/>
        </w:rPr>
        <w:t xml:space="preserve"> grâce à la mise en place d’initiatives comme code4kenya ou code4ghana qui ont pour but d’intégrer des ressources humaines ayant des capacités open data et TIC au sein des organisations pour un période de 4 à 6 mois. </w:t>
      </w:r>
    </w:p>
    <w:p w14:paraId="6391BA49" w14:textId="2FD145F6" w:rsidR="004C4146" w:rsidRDefault="004C4146" w:rsidP="00D5699E">
      <w:pPr>
        <w:pStyle w:val="Paragraphedeliste"/>
        <w:numPr>
          <w:ilvl w:val="1"/>
          <w:numId w:val="117"/>
        </w:numPr>
        <w:jc w:val="both"/>
        <w:rPr>
          <w:sz w:val="24"/>
          <w:szCs w:val="24"/>
        </w:rPr>
      </w:pPr>
      <w:r>
        <w:rPr>
          <w:sz w:val="24"/>
          <w:szCs w:val="24"/>
        </w:rPr>
        <w:t>Prérequis</w:t>
      </w:r>
      <w:r w:rsidR="00867B70">
        <w:rPr>
          <w:sz w:val="24"/>
          <w:szCs w:val="24"/>
        </w:rPr>
        <w:t xml:space="preserve"> </w:t>
      </w:r>
      <w:r>
        <w:rPr>
          <w:sz w:val="24"/>
          <w:szCs w:val="24"/>
        </w:rPr>
        <w:t xml:space="preserve">: Sensibilisation des acteurs non-étatiques engagée, renforcement des capacités de la communauté des développeurs effectué </w:t>
      </w:r>
    </w:p>
    <w:p w14:paraId="68A47EAC" w14:textId="010B16E9" w:rsidR="004C4146" w:rsidRDefault="004C4146" w:rsidP="00D5699E">
      <w:pPr>
        <w:pStyle w:val="Paragraphedeliste"/>
        <w:numPr>
          <w:ilvl w:val="1"/>
          <w:numId w:val="117"/>
        </w:numPr>
        <w:jc w:val="both"/>
        <w:rPr>
          <w:sz w:val="24"/>
          <w:szCs w:val="24"/>
        </w:rPr>
      </w:pPr>
      <w:r>
        <w:rPr>
          <w:sz w:val="24"/>
          <w:szCs w:val="24"/>
        </w:rPr>
        <w:t>Responsabilité</w:t>
      </w:r>
      <w:r w:rsidR="00867B70">
        <w:rPr>
          <w:sz w:val="24"/>
          <w:szCs w:val="24"/>
        </w:rPr>
        <w:t xml:space="preserve"> </w:t>
      </w:r>
      <w:r>
        <w:rPr>
          <w:sz w:val="24"/>
          <w:szCs w:val="24"/>
        </w:rPr>
        <w:t>: C</w:t>
      </w:r>
      <w:r w:rsidR="00A113C0">
        <w:rPr>
          <w:sz w:val="24"/>
          <w:szCs w:val="24"/>
        </w:rPr>
        <w:t>o</w:t>
      </w:r>
      <w:r>
        <w:rPr>
          <w:sz w:val="24"/>
          <w:szCs w:val="24"/>
        </w:rPr>
        <w:t>P</w:t>
      </w:r>
      <w:r w:rsidR="00A113C0">
        <w:rPr>
          <w:sz w:val="24"/>
          <w:szCs w:val="24"/>
        </w:rPr>
        <w:t>il</w:t>
      </w:r>
      <w:r>
        <w:rPr>
          <w:sz w:val="24"/>
          <w:szCs w:val="24"/>
        </w:rPr>
        <w:t xml:space="preserve"> + groupe de travail</w:t>
      </w:r>
    </w:p>
    <w:p w14:paraId="099C8BDE" w14:textId="3F1EFE31" w:rsidR="004C4146" w:rsidRDefault="004C4146" w:rsidP="00D5699E">
      <w:pPr>
        <w:pStyle w:val="Paragraphedeliste"/>
        <w:numPr>
          <w:ilvl w:val="1"/>
          <w:numId w:val="117"/>
        </w:numPr>
        <w:jc w:val="both"/>
        <w:rPr>
          <w:sz w:val="24"/>
          <w:szCs w:val="24"/>
        </w:rPr>
      </w:pPr>
      <w:r>
        <w:rPr>
          <w:sz w:val="24"/>
          <w:szCs w:val="24"/>
        </w:rPr>
        <w:t>Temps Requis</w:t>
      </w:r>
      <w:r w:rsidR="00867B70">
        <w:rPr>
          <w:sz w:val="24"/>
          <w:szCs w:val="24"/>
        </w:rPr>
        <w:t xml:space="preserve"> </w:t>
      </w:r>
      <w:r>
        <w:rPr>
          <w:sz w:val="24"/>
          <w:szCs w:val="24"/>
        </w:rPr>
        <w:t>: 12 à 15 mois pour le premier cycle, ensuite des cycles de 9 à 12 mois</w:t>
      </w:r>
    </w:p>
    <w:p w14:paraId="55AE6F08" w14:textId="3975B1D4" w:rsidR="004C4146" w:rsidRDefault="004C4146" w:rsidP="00D5699E">
      <w:pPr>
        <w:pStyle w:val="Paragraphedeliste"/>
        <w:numPr>
          <w:ilvl w:val="1"/>
          <w:numId w:val="117"/>
        </w:numPr>
        <w:jc w:val="both"/>
        <w:rPr>
          <w:sz w:val="24"/>
          <w:szCs w:val="24"/>
        </w:rPr>
      </w:pPr>
      <w:r>
        <w:rPr>
          <w:sz w:val="24"/>
          <w:szCs w:val="24"/>
        </w:rPr>
        <w:t>Co</w:t>
      </w:r>
      <w:r w:rsidR="00B45D25">
        <w:rPr>
          <w:sz w:val="24"/>
          <w:szCs w:val="24"/>
        </w:rPr>
        <w:t>û</w:t>
      </w:r>
      <w:r>
        <w:rPr>
          <w:sz w:val="24"/>
          <w:szCs w:val="24"/>
        </w:rPr>
        <w:t>t</w:t>
      </w:r>
      <w:r w:rsidR="00867B70">
        <w:rPr>
          <w:sz w:val="24"/>
          <w:szCs w:val="24"/>
        </w:rPr>
        <w:t xml:space="preserve"> </w:t>
      </w:r>
      <w:r>
        <w:rPr>
          <w:sz w:val="24"/>
          <w:szCs w:val="24"/>
        </w:rPr>
        <w:t>: 130-180k par cycle (2 à 4 cycles généralement nécessaires)</w:t>
      </w:r>
    </w:p>
    <w:p w14:paraId="1FE66644" w14:textId="77777777" w:rsidR="004C4146" w:rsidRDefault="004C4146" w:rsidP="00D5699E">
      <w:pPr>
        <w:pStyle w:val="Paragraphedeliste"/>
        <w:numPr>
          <w:ilvl w:val="1"/>
          <w:numId w:val="117"/>
        </w:numPr>
        <w:jc w:val="both"/>
        <w:rPr>
          <w:sz w:val="24"/>
          <w:szCs w:val="24"/>
        </w:rPr>
      </w:pPr>
      <w:r>
        <w:rPr>
          <w:sz w:val="24"/>
          <w:szCs w:val="24"/>
        </w:rPr>
        <w:t xml:space="preserve">Référence:  </w:t>
      </w:r>
    </w:p>
    <w:p w14:paraId="64EE08CE" w14:textId="77777777" w:rsidR="004C4146" w:rsidRDefault="004C4146" w:rsidP="00D5699E">
      <w:pPr>
        <w:pStyle w:val="Paragraphedeliste"/>
        <w:numPr>
          <w:ilvl w:val="2"/>
          <w:numId w:val="117"/>
        </w:numPr>
        <w:jc w:val="both"/>
        <w:rPr>
          <w:sz w:val="24"/>
          <w:szCs w:val="24"/>
        </w:rPr>
      </w:pPr>
      <w:r>
        <w:rPr>
          <w:sz w:val="24"/>
          <w:szCs w:val="24"/>
        </w:rPr>
        <w:t>Livre de référence du Journalisme de données</w:t>
      </w:r>
      <w:r>
        <w:rPr>
          <w:rStyle w:val="Appelnotedebasdep"/>
          <w:sz w:val="24"/>
          <w:szCs w:val="24"/>
        </w:rPr>
        <w:footnoteReference w:id="151"/>
      </w:r>
      <w:r>
        <w:rPr>
          <w:sz w:val="24"/>
          <w:szCs w:val="24"/>
        </w:rPr>
        <w:t xml:space="preserve"> (anglais)</w:t>
      </w:r>
    </w:p>
    <w:p w14:paraId="1AD4B954" w14:textId="77777777" w:rsidR="004C4146" w:rsidRDefault="004C4146" w:rsidP="00D5699E">
      <w:pPr>
        <w:pStyle w:val="Paragraphedeliste"/>
        <w:numPr>
          <w:ilvl w:val="2"/>
          <w:numId w:val="117"/>
        </w:numPr>
        <w:jc w:val="both"/>
        <w:rPr>
          <w:sz w:val="24"/>
          <w:szCs w:val="24"/>
        </w:rPr>
      </w:pPr>
      <w:r>
        <w:rPr>
          <w:sz w:val="24"/>
          <w:szCs w:val="24"/>
        </w:rPr>
        <w:t>Code4Africa</w:t>
      </w:r>
      <w:r>
        <w:rPr>
          <w:rStyle w:val="Appelnotedebasdep"/>
          <w:sz w:val="24"/>
          <w:szCs w:val="24"/>
        </w:rPr>
        <w:footnoteReference w:id="152"/>
      </w:r>
    </w:p>
    <w:p w14:paraId="6DD693F8" w14:textId="3B0B2457" w:rsidR="004C4146" w:rsidRDefault="004C4146" w:rsidP="00D5699E">
      <w:pPr>
        <w:pStyle w:val="Paragraphedeliste"/>
        <w:numPr>
          <w:ilvl w:val="2"/>
          <w:numId w:val="117"/>
        </w:numPr>
        <w:jc w:val="both"/>
        <w:rPr>
          <w:sz w:val="24"/>
          <w:szCs w:val="24"/>
        </w:rPr>
      </w:pPr>
      <w:r>
        <w:rPr>
          <w:sz w:val="24"/>
          <w:szCs w:val="24"/>
        </w:rPr>
        <w:t>Code4Kenya</w:t>
      </w:r>
      <w:r>
        <w:rPr>
          <w:rStyle w:val="Appelnotedebasdep"/>
          <w:sz w:val="24"/>
          <w:szCs w:val="24"/>
        </w:rPr>
        <w:footnoteReference w:id="153"/>
      </w:r>
    </w:p>
    <w:p w14:paraId="357DE338" w14:textId="77777777" w:rsidR="00867B70" w:rsidRDefault="00867B70" w:rsidP="00867B70">
      <w:pPr>
        <w:pStyle w:val="Paragraphedeliste"/>
        <w:ind w:left="2160"/>
        <w:jc w:val="both"/>
        <w:rPr>
          <w:sz w:val="24"/>
          <w:szCs w:val="24"/>
        </w:rPr>
      </w:pPr>
    </w:p>
    <w:p w14:paraId="5BF783BC" w14:textId="30065214" w:rsidR="004C4146" w:rsidRDefault="004C4146" w:rsidP="00D5699E">
      <w:pPr>
        <w:pStyle w:val="Paragraphedeliste"/>
        <w:numPr>
          <w:ilvl w:val="0"/>
          <w:numId w:val="117"/>
        </w:numPr>
        <w:jc w:val="both"/>
        <w:rPr>
          <w:sz w:val="24"/>
          <w:szCs w:val="24"/>
        </w:rPr>
      </w:pPr>
      <w:r>
        <w:rPr>
          <w:b/>
          <w:sz w:val="24"/>
          <w:szCs w:val="24"/>
        </w:rPr>
        <w:t xml:space="preserve">Mise en place d’une structure pérenne de renforcement des capacités des acteurs non-étatiques et de coordination de ces mêmes acteurs. </w:t>
      </w:r>
      <w:r>
        <w:rPr>
          <w:sz w:val="24"/>
          <w:szCs w:val="24"/>
        </w:rPr>
        <w:t xml:space="preserve">L’objectif est de remplacer le groupe de travail dédié aux acteurs non-gouvernementaux après la phase de démarrage (24-36 mois) par une structure pérenne dont le rôle sera à la fois de coordonner ces acteurs, </w:t>
      </w:r>
      <w:r w:rsidR="002E60D1">
        <w:rPr>
          <w:sz w:val="24"/>
          <w:szCs w:val="24"/>
        </w:rPr>
        <w:t xml:space="preserve">de </w:t>
      </w:r>
      <w:r>
        <w:rPr>
          <w:sz w:val="24"/>
          <w:szCs w:val="24"/>
        </w:rPr>
        <w:t xml:space="preserve">renforcer leur capacité, et d’assurer la coordination avec les acteurs étatiques. </w:t>
      </w:r>
    </w:p>
    <w:p w14:paraId="418599D7" w14:textId="68A5E292" w:rsidR="004C4146" w:rsidRDefault="004C4146" w:rsidP="00D5699E">
      <w:pPr>
        <w:pStyle w:val="Paragraphedeliste"/>
        <w:numPr>
          <w:ilvl w:val="1"/>
          <w:numId w:val="117"/>
        </w:numPr>
        <w:jc w:val="both"/>
        <w:rPr>
          <w:sz w:val="24"/>
          <w:szCs w:val="24"/>
        </w:rPr>
      </w:pPr>
      <w:r>
        <w:rPr>
          <w:sz w:val="24"/>
          <w:szCs w:val="24"/>
        </w:rPr>
        <w:t>Prérequis</w:t>
      </w:r>
      <w:r w:rsidR="00867B70">
        <w:rPr>
          <w:sz w:val="24"/>
          <w:szCs w:val="24"/>
        </w:rPr>
        <w:t xml:space="preserve"> </w:t>
      </w:r>
      <w:r>
        <w:rPr>
          <w:sz w:val="24"/>
          <w:szCs w:val="24"/>
        </w:rPr>
        <w:t>: Les premières phases de sensibilisation et de renforcement de capacités ont été complétées. L’initiative open data reçoit l’adhésion d’une majorité d’agences et de ministère</w:t>
      </w:r>
      <w:r w:rsidR="002E60D1">
        <w:rPr>
          <w:sz w:val="24"/>
          <w:szCs w:val="24"/>
        </w:rPr>
        <w:t>s</w:t>
      </w:r>
      <w:r>
        <w:rPr>
          <w:sz w:val="24"/>
          <w:szCs w:val="24"/>
        </w:rPr>
        <w:t xml:space="preserve">. </w:t>
      </w:r>
      <w:r w:rsidR="007C47CE">
        <w:rPr>
          <w:sz w:val="24"/>
          <w:szCs w:val="24"/>
        </w:rPr>
        <w:t>Les acteurs non-gouvernementaux sont mobilisés sur le sujet.</w:t>
      </w:r>
    </w:p>
    <w:p w14:paraId="3D6B9F14" w14:textId="1C9D24F0" w:rsidR="004C4146" w:rsidRDefault="004C4146" w:rsidP="00D5699E">
      <w:pPr>
        <w:pStyle w:val="Paragraphedeliste"/>
        <w:numPr>
          <w:ilvl w:val="1"/>
          <w:numId w:val="117"/>
        </w:numPr>
        <w:jc w:val="both"/>
        <w:rPr>
          <w:sz w:val="24"/>
          <w:szCs w:val="24"/>
        </w:rPr>
      </w:pPr>
      <w:r>
        <w:rPr>
          <w:sz w:val="24"/>
          <w:szCs w:val="24"/>
        </w:rPr>
        <w:t>Responsabilité</w:t>
      </w:r>
      <w:r w:rsidR="00867B70">
        <w:rPr>
          <w:sz w:val="24"/>
          <w:szCs w:val="24"/>
        </w:rPr>
        <w:t xml:space="preserve"> </w:t>
      </w:r>
      <w:r>
        <w:rPr>
          <w:sz w:val="24"/>
          <w:szCs w:val="24"/>
        </w:rPr>
        <w:t>: C</w:t>
      </w:r>
      <w:r w:rsidR="007C47CE">
        <w:rPr>
          <w:sz w:val="24"/>
          <w:szCs w:val="24"/>
        </w:rPr>
        <w:t>o</w:t>
      </w:r>
      <w:r>
        <w:rPr>
          <w:sz w:val="24"/>
          <w:szCs w:val="24"/>
        </w:rPr>
        <w:t>P</w:t>
      </w:r>
      <w:r w:rsidR="007C47CE">
        <w:rPr>
          <w:sz w:val="24"/>
          <w:szCs w:val="24"/>
        </w:rPr>
        <w:t>il</w:t>
      </w:r>
      <w:r>
        <w:rPr>
          <w:sz w:val="24"/>
          <w:szCs w:val="24"/>
        </w:rPr>
        <w:t xml:space="preserve"> </w:t>
      </w:r>
    </w:p>
    <w:p w14:paraId="64C2912A" w14:textId="688B6D11" w:rsidR="004C4146" w:rsidRDefault="004C4146" w:rsidP="00D5699E">
      <w:pPr>
        <w:pStyle w:val="Paragraphedeliste"/>
        <w:numPr>
          <w:ilvl w:val="1"/>
          <w:numId w:val="117"/>
        </w:numPr>
        <w:jc w:val="both"/>
        <w:rPr>
          <w:sz w:val="24"/>
          <w:szCs w:val="24"/>
        </w:rPr>
      </w:pPr>
      <w:r>
        <w:rPr>
          <w:sz w:val="24"/>
          <w:szCs w:val="24"/>
        </w:rPr>
        <w:t>Temps Requis</w:t>
      </w:r>
      <w:r w:rsidR="00867B70">
        <w:rPr>
          <w:sz w:val="24"/>
          <w:szCs w:val="24"/>
        </w:rPr>
        <w:t xml:space="preserve"> </w:t>
      </w:r>
      <w:r>
        <w:rPr>
          <w:sz w:val="24"/>
          <w:szCs w:val="24"/>
        </w:rPr>
        <w:t>: 36-48 mois (temps requis pour qu’une telle structure devienne pérenne avec un modèle économique viable)</w:t>
      </w:r>
    </w:p>
    <w:p w14:paraId="1747DC5D" w14:textId="23763B22" w:rsidR="004C4146" w:rsidRDefault="007C47CE" w:rsidP="00D5699E">
      <w:pPr>
        <w:pStyle w:val="Paragraphedeliste"/>
        <w:numPr>
          <w:ilvl w:val="1"/>
          <w:numId w:val="117"/>
        </w:numPr>
        <w:jc w:val="both"/>
        <w:rPr>
          <w:sz w:val="24"/>
          <w:szCs w:val="24"/>
        </w:rPr>
      </w:pPr>
      <w:r>
        <w:rPr>
          <w:sz w:val="24"/>
          <w:szCs w:val="24"/>
        </w:rPr>
        <w:t>Co</w:t>
      </w:r>
      <w:r w:rsidR="00B45D25">
        <w:rPr>
          <w:sz w:val="24"/>
          <w:szCs w:val="24"/>
        </w:rPr>
        <w:t>û</w:t>
      </w:r>
      <w:r>
        <w:rPr>
          <w:sz w:val="24"/>
          <w:szCs w:val="24"/>
        </w:rPr>
        <w:t>t</w:t>
      </w:r>
      <w:r w:rsidR="00867B70">
        <w:rPr>
          <w:sz w:val="24"/>
          <w:szCs w:val="24"/>
        </w:rPr>
        <w:t xml:space="preserve"> </w:t>
      </w:r>
      <w:r>
        <w:rPr>
          <w:sz w:val="24"/>
          <w:szCs w:val="24"/>
        </w:rPr>
        <w:t>: 400-5</w:t>
      </w:r>
      <w:r w:rsidR="004C4146">
        <w:rPr>
          <w:sz w:val="24"/>
          <w:szCs w:val="24"/>
        </w:rPr>
        <w:t>00kUSD /an</w:t>
      </w:r>
      <w:r w:rsidR="001045F9">
        <w:rPr>
          <w:sz w:val="24"/>
          <w:szCs w:val="24"/>
        </w:rPr>
        <w:t xml:space="preserve"> sur 3 à 4 ans pour la mise en place de la structure, de l’équipe, et le développement du modèle économique. Ces coûts sont basés sur les investissements réalisés pour Mobile Web Ghana (cf. ci-dessous), dLab ou Jakarta Open Data Lab. </w:t>
      </w:r>
    </w:p>
    <w:p w14:paraId="3ADDA909" w14:textId="77777777" w:rsidR="004C4146" w:rsidRDefault="004C4146" w:rsidP="00D5699E">
      <w:pPr>
        <w:pStyle w:val="Paragraphedeliste"/>
        <w:numPr>
          <w:ilvl w:val="1"/>
          <w:numId w:val="117"/>
        </w:numPr>
        <w:jc w:val="both"/>
        <w:rPr>
          <w:sz w:val="24"/>
          <w:szCs w:val="24"/>
        </w:rPr>
      </w:pPr>
      <w:r>
        <w:rPr>
          <w:sz w:val="24"/>
          <w:szCs w:val="24"/>
        </w:rPr>
        <w:t>Références</w:t>
      </w:r>
    </w:p>
    <w:p w14:paraId="64AAA286" w14:textId="77777777" w:rsidR="004C4146" w:rsidRDefault="004C4146" w:rsidP="00D5699E">
      <w:pPr>
        <w:pStyle w:val="Paragraphedeliste"/>
        <w:numPr>
          <w:ilvl w:val="2"/>
          <w:numId w:val="117"/>
        </w:numPr>
        <w:jc w:val="both"/>
        <w:rPr>
          <w:sz w:val="24"/>
          <w:szCs w:val="24"/>
        </w:rPr>
      </w:pPr>
      <w:r>
        <w:rPr>
          <w:sz w:val="24"/>
          <w:szCs w:val="24"/>
        </w:rPr>
        <w:t>mLab East Africa</w:t>
      </w:r>
      <w:r>
        <w:rPr>
          <w:rStyle w:val="Appelnotedebasdep"/>
          <w:sz w:val="24"/>
          <w:szCs w:val="24"/>
        </w:rPr>
        <w:footnoteReference w:id="154"/>
      </w:r>
    </w:p>
    <w:p w14:paraId="0129C9DF" w14:textId="77777777" w:rsidR="004C4146" w:rsidRDefault="004C4146" w:rsidP="00D5699E">
      <w:pPr>
        <w:pStyle w:val="Paragraphedeliste"/>
        <w:numPr>
          <w:ilvl w:val="2"/>
          <w:numId w:val="117"/>
        </w:numPr>
        <w:jc w:val="both"/>
        <w:rPr>
          <w:sz w:val="24"/>
          <w:szCs w:val="24"/>
        </w:rPr>
      </w:pPr>
      <w:r>
        <w:rPr>
          <w:sz w:val="24"/>
          <w:szCs w:val="24"/>
        </w:rPr>
        <w:t>Mobile Web Ghana</w:t>
      </w:r>
      <w:r>
        <w:rPr>
          <w:rStyle w:val="Appelnotedebasdep"/>
          <w:sz w:val="24"/>
          <w:szCs w:val="24"/>
        </w:rPr>
        <w:footnoteReference w:id="155"/>
      </w:r>
    </w:p>
    <w:p w14:paraId="3B3225A9" w14:textId="77777777" w:rsidR="004C4146" w:rsidRDefault="004C4146" w:rsidP="00D5699E">
      <w:pPr>
        <w:pStyle w:val="Paragraphedeliste"/>
        <w:numPr>
          <w:ilvl w:val="2"/>
          <w:numId w:val="117"/>
        </w:numPr>
        <w:jc w:val="both"/>
        <w:rPr>
          <w:sz w:val="24"/>
          <w:szCs w:val="24"/>
        </w:rPr>
      </w:pPr>
      <w:r>
        <w:rPr>
          <w:sz w:val="24"/>
          <w:szCs w:val="24"/>
        </w:rPr>
        <w:t xml:space="preserve">Jakarta Open data Lab </w:t>
      </w:r>
      <w:r>
        <w:rPr>
          <w:rStyle w:val="Appelnotedebasdep"/>
          <w:sz w:val="24"/>
          <w:szCs w:val="24"/>
        </w:rPr>
        <w:footnoteReference w:id="156"/>
      </w:r>
    </w:p>
    <w:p w14:paraId="0DDBA056" w14:textId="2A85899F" w:rsidR="004C4146" w:rsidRDefault="004C4146" w:rsidP="00D5699E">
      <w:pPr>
        <w:pStyle w:val="Paragraphedeliste"/>
        <w:numPr>
          <w:ilvl w:val="2"/>
          <w:numId w:val="117"/>
        </w:numPr>
        <w:jc w:val="both"/>
        <w:rPr>
          <w:sz w:val="24"/>
          <w:szCs w:val="24"/>
        </w:rPr>
      </w:pPr>
      <w:r>
        <w:rPr>
          <w:sz w:val="24"/>
          <w:szCs w:val="24"/>
        </w:rPr>
        <w:t>dLab Tanzania</w:t>
      </w:r>
      <w:r>
        <w:rPr>
          <w:rStyle w:val="Appelnotedebasdep"/>
          <w:sz w:val="24"/>
          <w:szCs w:val="24"/>
        </w:rPr>
        <w:footnoteReference w:id="157"/>
      </w:r>
    </w:p>
    <w:p w14:paraId="5FFD5D3F" w14:textId="4AC061D9" w:rsidR="004E3B4A" w:rsidRPr="004E3B4A" w:rsidRDefault="004E3B4A" w:rsidP="004E3B4A">
      <w:pPr>
        <w:pStyle w:val="Paragraphedeliste"/>
        <w:numPr>
          <w:ilvl w:val="2"/>
          <w:numId w:val="117"/>
        </w:numPr>
        <w:jc w:val="both"/>
        <w:rPr>
          <w:sz w:val="24"/>
          <w:szCs w:val="24"/>
        </w:rPr>
      </w:pPr>
      <w:r>
        <w:rPr>
          <w:sz w:val="24"/>
          <w:szCs w:val="24"/>
        </w:rPr>
        <w:t>Etalab</w:t>
      </w:r>
      <w:r>
        <w:rPr>
          <w:rStyle w:val="Appelnotedebasdep"/>
          <w:sz w:val="24"/>
          <w:szCs w:val="24"/>
        </w:rPr>
        <w:footnoteReference w:id="158"/>
      </w:r>
    </w:p>
    <w:p w14:paraId="3DA2BD50" w14:textId="77777777" w:rsidR="004C4146" w:rsidRDefault="004C4146" w:rsidP="004C4146">
      <w:pPr>
        <w:rPr>
          <w:lang w:val="en-US"/>
        </w:rPr>
      </w:pPr>
      <w:r>
        <w:rPr>
          <w:lang w:val="en-US"/>
        </w:rPr>
        <w:br w:type="page"/>
      </w:r>
    </w:p>
    <w:p w14:paraId="27457723" w14:textId="77777777" w:rsidR="004C4146" w:rsidRDefault="004C4146" w:rsidP="004C4146"/>
    <w:p w14:paraId="2EF841B9" w14:textId="77777777" w:rsidR="004C4146" w:rsidRDefault="004C4146" w:rsidP="004C4146">
      <w:pPr>
        <w:pStyle w:val="Titre2"/>
      </w:pPr>
      <w:bookmarkStart w:id="40" w:name="_Toc459307848"/>
      <w:bookmarkStart w:id="41" w:name="_Toc496544789"/>
      <w:r>
        <w:t>Vue Tabulaire</w:t>
      </w:r>
      <w:bookmarkEnd w:id="40"/>
      <w:bookmarkEnd w:id="41"/>
    </w:p>
    <w:p w14:paraId="04FE1F0B" w14:textId="77777777" w:rsidR="004C4146" w:rsidRPr="001B6DD5" w:rsidRDefault="004C4146" w:rsidP="004C4146">
      <w:pPr>
        <w:rPr>
          <w:sz w:val="24"/>
          <w:szCs w:val="24"/>
        </w:rPr>
      </w:pPr>
      <w:r w:rsidRPr="001B6DD5">
        <w:rPr>
          <w:sz w:val="24"/>
          <w:szCs w:val="24"/>
        </w:rPr>
        <w:t>Cette vue n’intègre que les actions à court et moyen terme</w:t>
      </w:r>
    </w:p>
    <w:p w14:paraId="23678668" w14:textId="77777777" w:rsidR="004C4146" w:rsidRDefault="004C4146" w:rsidP="004C4146">
      <w:pPr>
        <w:sectPr w:rsidR="004C4146" w:rsidSect="00862299">
          <w:headerReference w:type="even" r:id="rId34"/>
          <w:headerReference w:type="default" r:id="rId35"/>
          <w:footerReference w:type="even" r:id="rId36"/>
          <w:footerReference w:type="default" r:id="rId37"/>
          <w:headerReference w:type="first" r:id="rId38"/>
          <w:footerReference w:type="first" r:id="rId39"/>
          <w:pgSz w:w="11906" w:h="16838"/>
          <w:pgMar w:top="1417" w:right="1417" w:bottom="1417" w:left="1417" w:header="708" w:footer="708" w:gutter="0"/>
          <w:cols w:space="720"/>
          <w:titlePg/>
          <w:docGrid w:linePitch="299"/>
        </w:sectPr>
      </w:pPr>
      <w:r>
        <w:br w:type="page"/>
      </w:r>
    </w:p>
    <w:tbl>
      <w:tblPr>
        <w:tblW w:w="15098" w:type="dxa"/>
        <w:tblInd w:w="55" w:type="dxa"/>
        <w:tblBorders>
          <w:top w:val="single" w:sz="12" w:space="0" w:color="auto"/>
          <w:left w:val="single" w:sz="12" w:space="0" w:color="auto"/>
          <w:bottom w:val="single" w:sz="4" w:space="0" w:color="auto"/>
          <w:right w:val="single" w:sz="12" w:space="0" w:color="auto"/>
          <w:insideH w:val="single" w:sz="12" w:space="0" w:color="auto"/>
          <w:insideV w:val="single" w:sz="12" w:space="0" w:color="auto"/>
        </w:tblBorders>
        <w:tblLayout w:type="fixed"/>
        <w:tblCellMar>
          <w:left w:w="70" w:type="dxa"/>
          <w:right w:w="70" w:type="dxa"/>
        </w:tblCellMar>
        <w:tblLook w:val="04A0" w:firstRow="1" w:lastRow="0" w:firstColumn="1" w:lastColumn="0" w:noHBand="0" w:noVBand="1"/>
      </w:tblPr>
      <w:tblGrid>
        <w:gridCol w:w="1915"/>
        <w:gridCol w:w="850"/>
        <w:gridCol w:w="567"/>
        <w:gridCol w:w="426"/>
        <w:gridCol w:w="567"/>
        <w:gridCol w:w="567"/>
        <w:gridCol w:w="425"/>
        <w:gridCol w:w="567"/>
        <w:gridCol w:w="425"/>
        <w:gridCol w:w="425"/>
        <w:gridCol w:w="567"/>
        <w:gridCol w:w="426"/>
        <w:gridCol w:w="425"/>
        <w:gridCol w:w="567"/>
        <w:gridCol w:w="425"/>
        <w:gridCol w:w="425"/>
        <w:gridCol w:w="426"/>
        <w:gridCol w:w="567"/>
        <w:gridCol w:w="425"/>
        <w:gridCol w:w="567"/>
        <w:gridCol w:w="425"/>
        <w:gridCol w:w="425"/>
        <w:gridCol w:w="567"/>
        <w:gridCol w:w="567"/>
        <w:gridCol w:w="426"/>
        <w:gridCol w:w="567"/>
        <w:gridCol w:w="567"/>
      </w:tblGrid>
      <w:tr w:rsidR="00424A95" w14:paraId="16B77CD9" w14:textId="381AE8FD" w:rsidTr="00424A95">
        <w:trPr>
          <w:trHeight w:val="810"/>
          <w:tblHeader/>
        </w:trPr>
        <w:tc>
          <w:tcPr>
            <w:tcW w:w="3332" w:type="dxa"/>
            <w:gridSpan w:val="3"/>
            <w:tcBorders>
              <w:top w:val="single" w:sz="12" w:space="0" w:color="auto"/>
              <w:left w:val="single" w:sz="12" w:space="0" w:color="auto"/>
              <w:bottom w:val="single" w:sz="12" w:space="0" w:color="auto"/>
              <w:right w:val="single" w:sz="12" w:space="0" w:color="auto"/>
            </w:tcBorders>
            <w:shd w:val="clear" w:color="auto" w:fill="B1A0C7"/>
            <w:vAlign w:val="center"/>
            <w:hideMark/>
          </w:tcPr>
          <w:p w14:paraId="41E66DCF" w14:textId="15B6D561" w:rsidR="00424A95" w:rsidRDefault="00424A95">
            <w:pPr>
              <w:spacing w:after="0" w:line="240" w:lineRule="auto"/>
              <w:jc w:val="center"/>
              <w:rPr>
                <w:rFonts w:eastAsia="Times New Roman" w:cs="Times New Roman"/>
                <w:b/>
                <w:color w:val="000000"/>
                <w:sz w:val="28"/>
                <w:szCs w:val="28"/>
                <w:lang w:eastAsia="fr-FR"/>
              </w:rPr>
            </w:pPr>
            <w:r>
              <w:rPr>
                <w:rFonts w:eastAsia="Times New Roman" w:cs="Times New Roman"/>
                <w:b/>
                <w:color w:val="000000"/>
                <w:sz w:val="28"/>
                <w:szCs w:val="28"/>
                <w:lang w:eastAsia="fr-FR"/>
              </w:rPr>
              <w:t>Initiative Open Data en Tunisie</w:t>
            </w:r>
          </w:p>
        </w:tc>
        <w:tc>
          <w:tcPr>
            <w:tcW w:w="5812" w:type="dxa"/>
            <w:gridSpan w:val="12"/>
            <w:tcBorders>
              <w:top w:val="single" w:sz="12" w:space="0" w:color="auto"/>
              <w:left w:val="single" w:sz="12" w:space="0" w:color="auto"/>
              <w:bottom w:val="single" w:sz="12" w:space="0" w:color="auto"/>
              <w:right w:val="single" w:sz="12" w:space="0" w:color="auto"/>
            </w:tcBorders>
            <w:shd w:val="clear" w:color="auto" w:fill="8DB3E2" w:themeFill="text2" w:themeFillTint="66"/>
            <w:vAlign w:val="center"/>
            <w:hideMark/>
          </w:tcPr>
          <w:p w14:paraId="2971EC5B" w14:textId="43F62681" w:rsidR="00424A95" w:rsidRDefault="00424A95">
            <w:pPr>
              <w:spacing w:after="0" w:line="240" w:lineRule="auto"/>
              <w:jc w:val="center"/>
              <w:rPr>
                <w:rFonts w:eastAsia="Times New Roman" w:cs="Times New Roman"/>
                <w:b/>
                <w:color w:val="000000"/>
                <w:sz w:val="24"/>
                <w:szCs w:val="24"/>
                <w:lang w:eastAsia="fr-FR"/>
              </w:rPr>
            </w:pPr>
            <w:r>
              <w:rPr>
                <w:rFonts w:eastAsia="Times New Roman" w:cs="Times New Roman"/>
                <w:b/>
                <w:color w:val="000000"/>
                <w:sz w:val="24"/>
                <w:szCs w:val="24"/>
                <w:lang w:eastAsia="fr-FR"/>
              </w:rPr>
              <w:t>2018</w:t>
            </w:r>
          </w:p>
        </w:tc>
        <w:tc>
          <w:tcPr>
            <w:tcW w:w="5954" w:type="dxa"/>
            <w:gridSpan w:val="12"/>
            <w:tcBorders>
              <w:top w:val="single" w:sz="12" w:space="0" w:color="auto"/>
              <w:left w:val="single" w:sz="12" w:space="0" w:color="auto"/>
              <w:bottom w:val="single" w:sz="12" w:space="0" w:color="auto"/>
              <w:right w:val="single" w:sz="12" w:space="0" w:color="auto"/>
            </w:tcBorders>
            <w:shd w:val="clear" w:color="auto" w:fill="8DB3E2" w:themeFill="text2" w:themeFillTint="66"/>
            <w:vAlign w:val="bottom"/>
            <w:hideMark/>
          </w:tcPr>
          <w:p w14:paraId="7B68F7BD" w14:textId="1CE1C06C" w:rsidR="00424A95" w:rsidRDefault="00424A95" w:rsidP="00424A95">
            <w:pPr>
              <w:jc w:val="center"/>
              <w:rPr>
                <w:b/>
                <w:sz w:val="24"/>
              </w:rPr>
            </w:pPr>
            <w:r>
              <w:rPr>
                <w:b/>
                <w:sz w:val="24"/>
              </w:rPr>
              <w:t>2019</w:t>
            </w:r>
          </w:p>
        </w:tc>
      </w:tr>
      <w:tr w:rsidR="00424A95" w14:paraId="72C01250" w14:textId="427128E1" w:rsidTr="000C2CDA">
        <w:trPr>
          <w:trHeight w:val="630"/>
          <w:tblHeader/>
        </w:trPr>
        <w:tc>
          <w:tcPr>
            <w:tcW w:w="1915" w:type="dxa"/>
            <w:tcBorders>
              <w:top w:val="single" w:sz="12" w:space="0" w:color="auto"/>
              <w:left w:val="single" w:sz="12" w:space="0" w:color="auto"/>
              <w:bottom w:val="single" w:sz="12" w:space="0" w:color="auto"/>
              <w:right w:val="single" w:sz="12" w:space="0" w:color="auto"/>
            </w:tcBorders>
            <w:shd w:val="clear" w:color="auto" w:fill="E26B0A"/>
            <w:vAlign w:val="center"/>
            <w:hideMark/>
          </w:tcPr>
          <w:p w14:paraId="183D57DE" w14:textId="77777777" w:rsidR="00424A95" w:rsidRPr="00424A95" w:rsidRDefault="00424A95" w:rsidP="001409D8">
            <w:pPr>
              <w:spacing w:after="0" w:line="240" w:lineRule="auto"/>
              <w:rPr>
                <w:rFonts w:eastAsia="Times New Roman" w:cs="Times New Roman"/>
                <w:b/>
                <w:color w:val="000000"/>
                <w:sz w:val="18"/>
                <w:lang w:eastAsia="fr-FR"/>
              </w:rPr>
            </w:pPr>
            <w:r w:rsidRPr="00424A95">
              <w:rPr>
                <w:rFonts w:eastAsia="Times New Roman" w:cs="Times New Roman"/>
                <w:b/>
                <w:color w:val="000000"/>
                <w:sz w:val="18"/>
                <w:lang w:eastAsia="fr-FR"/>
              </w:rPr>
              <w:t>Activité</w:t>
            </w:r>
          </w:p>
        </w:tc>
        <w:tc>
          <w:tcPr>
            <w:tcW w:w="850" w:type="dxa"/>
            <w:tcBorders>
              <w:top w:val="single" w:sz="12" w:space="0" w:color="auto"/>
              <w:left w:val="single" w:sz="12" w:space="0" w:color="auto"/>
              <w:bottom w:val="single" w:sz="12" w:space="0" w:color="auto"/>
              <w:right w:val="single" w:sz="12" w:space="0" w:color="auto"/>
            </w:tcBorders>
            <w:shd w:val="clear" w:color="auto" w:fill="E26B0A"/>
            <w:vAlign w:val="center"/>
            <w:hideMark/>
          </w:tcPr>
          <w:p w14:paraId="04609A9F" w14:textId="77777777" w:rsidR="00424A95" w:rsidRPr="00424A95" w:rsidRDefault="00424A95" w:rsidP="001409D8">
            <w:pPr>
              <w:spacing w:after="0" w:line="240" w:lineRule="auto"/>
              <w:jc w:val="center"/>
              <w:rPr>
                <w:rFonts w:eastAsia="Times New Roman" w:cs="Times New Roman"/>
                <w:b/>
                <w:color w:val="000000"/>
                <w:sz w:val="18"/>
                <w:lang w:eastAsia="fr-FR"/>
              </w:rPr>
            </w:pPr>
            <w:r w:rsidRPr="00424A95">
              <w:rPr>
                <w:rFonts w:eastAsia="Times New Roman" w:cs="Times New Roman"/>
                <w:b/>
                <w:color w:val="000000"/>
                <w:sz w:val="18"/>
                <w:lang w:eastAsia="fr-FR"/>
              </w:rPr>
              <w:t>Resp.</w:t>
            </w:r>
          </w:p>
        </w:tc>
        <w:tc>
          <w:tcPr>
            <w:tcW w:w="567" w:type="dxa"/>
            <w:tcBorders>
              <w:top w:val="single" w:sz="12" w:space="0" w:color="auto"/>
              <w:left w:val="single" w:sz="12" w:space="0" w:color="auto"/>
              <w:bottom w:val="single" w:sz="12" w:space="0" w:color="auto"/>
              <w:right w:val="single" w:sz="12" w:space="0" w:color="auto"/>
            </w:tcBorders>
            <w:shd w:val="clear" w:color="auto" w:fill="E26B0A"/>
            <w:vAlign w:val="center"/>
            <w:hideMark/>
          </w:tcPr>
          <w:p w14:paraId="0918775E" w14:textId="29DFC2BA" w:rsidR="00424A95" w:rsidRPr="00424A95" w:rsidRDefault="00424A95" w:rsidP="001409D8">
            <w:pPr>
              <w:spacing w:after="0" w:line="240" w:lineRule="auto"/>
              <w:jc w:val="center"/>
              <w:rPr>
                <w:rFonts w:eastAsia="Times New Roman" w:cs="Times New Roman"/>
                <w:b/>
                <w:color w:val="000000"/>
                <w:sz w:val="18"/>
                <w:lang w:eastAsia="fr-FR"/>
              </w:rPr>
            </w:pPr>
            <w:r w:rsidRPr="00424A95">
              <w:rPr>
                <w:rFonts w:eastAsia="Times New Roman" w:cs="Times New Roman"/>
                <w:b/>
                <w:color w:val="000000"/>
                <w:sz w:val="18"/>
                <w:lang w:eastAsia="fr-FR"/>
              </w:rPr>
              <w:t>Co</w:t>
            </w:r>
            <w:r w:rsidR="00B45D25">
              <w:rPr>
                <w:rFonts w:eastAsia="Times New Roman" w:cs="Times New Roman"/>
                <w:b/>
                <w:color w:val="000000"/>
                <w:sz w:val="18"/>
                <w:lang w:eastAsia="fr-FR"/>
              </w:rPr>
              <w:t>û</w:t>
            </w:r>
            <w:r w:rsidRPr="00424A95">
              <w:rPr>
                <w:rFonts w:eastAsia="Times New Roman" w:cs="Times New Roman"/>
                <w:b/>
                <w:color w:val="000000"/>
                <w:sz w:val="18"/>
                <w:lang w:eastAsia="fr-FR"/>
              </w:rPr>
              <w:t>t</w:t>
            </w:r>
          </w:p>
        </w:tc>
        <w:tc>
          <w:tcPr>
            <w:tcW w:w="426" w:type="dxa"/>
            <w:tcBorders>
              <w:top w:val="single" w:sz="12" w:space="0" w:color="auto"/>
              <w:left w:val="single" w:sz="12" w:space="0" w:color="auto"/>
              <w:bottom w:val="single" w:sz="12" w:space="0" w:color="auto"/>
              <w:right w:val="single" w:sz="12" w:space="0" w:color="auto"/>
            </w:tcBorders>
            <w:shd w:val="clear" w:color="auto" w:fill="DCE6F1"/>
            <w:noWrap/>
            <w:vAlign w:val="center"/>
            <w:hideMark/>
          </w:tcPr>
          <w:p w14:paraId="0AA80E12" w14:textId="7BC174D3" w:rsidR="00424A95" w:rsidRPr="00424A95" w:rsidRDefault="00424A95" w:rsidP="001409D8">
            <w:pPr>
              <w:spacing w:after="0" w:line="240" w:lineRule="auto"/>
              <w:jc w:val="center"/>
              <w:rPr>
                <w:rFonts w:eastAsia="Times New Roman" w:cs="Times New Roman"/>
                <w:b/>
                <w:color w:val="000000"/>
                <w:sz w:val="18"/>
                <w:lang w:eastAsia="fr-FR"/>
              </w:rPr>
            </w:pPr>
            <w:r w:rsidRPr="00424A95">
              <w:rPr>
                <w:rFonts w:eastAsia="Times New Roman" w:cs="Times New Roman"/>
                <w:b/>
                <w:color w:val="000000"/>
                <w:sz w:val="18"/>
                <w:lang w:eastAsia="fr-FR"/>
              </w:rPr>
              <w:t>Jan</w:t>
            </w:r>
          </w:p>
        </w:tc>
        <w:tc>
          <w:tcPr>
            <w:tcW w:w="567" w:type="dxa"/>
            <w:tcBorders>
              <w:top w:val="single" w:sz="12" w:space="0" w:color="auto"/>
              <w:left w:val="single" w:sz="12" w:space="0" w:color="auto"/>
              <w:bottom w:val="single" w:sz="12" w:space="0" w:color="auto"/>
              <w:right w:val="single" w:sz="12" w:space="0" w:color="auto"/>
            </w:tcBorders>
            <w:shd w:val="clear" w:color="auto" w:fill="DCE6F1"/>
            <w:noWrap/>
            <w:vAlign w:val="center"/>
            <w:hideMark/>
          </w:tcPr>
          <w:p w14:paraId="6C306F80" w14:textId="7643C446" w:rsidR="00424A95" w:rsidRPr="00424A95" w:rsidRDefault="002B413B" w:rsidP="001409D8">
            <w:pPr>
              <w:spacing w:after="0" w:line="240" w:lineRule="auto"/>
              <w:jc w:val="center"/>
              <w:rPr>
                <w:rFonts w:eastAsia="Times New Roman" w:cs="Times New Roman"/>
                <w:b/>
                <w:color w:val="000000"/>
                <w:sz w:val="18"/>
                <w:lang w:eastAsia="fr-FR"/>
              </w:rPr>
            </w:pPr>
            <w:r w:rsidRPr="00424A95">
              <w:rPr>
                <w:rFonts w:eastAsia="Times New Roman" w:cs="Times New Roman"/>
                <w:b/>
                <w:color w:val="000000"/>
                <w:sz w:val="18"/>
                <w:lang w:eastAsia="fr-FR"/>
              </w:rPr>
              <w:t>Fév.</w:t>
            </w:r>
          </w:p>
        </w:tc>
        <w:tc>
          <w:tcPr>
            <w:tcW w:w="567" w:type="dxa"/>
            <w:tcBorders>
              <w:top w:val="single" w:sz="12" w:space="0" w:color="auto"/>
              <w:left w:val="single" w:sz="12" w:space="0" w:color="auto"/>
              <w:bottom w:val="single" w:sz="12" w:space="0" w:color="auto"/>
              <w:right w:val="single" w:sz="12" w:space="0" w:color="auto"/>
            </w:tcBorders>
            <w:shd w:val="clear" w:color="auto" w:fill="DCE6F1"/>
            <w:noWrap/>
            <w:vAlign w:val="center"/>
            <w:hideMark/>
          </w:tcPr>
          <w:p w14:paraId="3E81CC59" w14:textId="5583EE88" w:rsidR="00424A95" w:rsidRPr="00424A95" w:rsidRDefault="00424A95" w:rsidP="001409D8">
            <w:pPr>
              <w:spacing w:after="0" w:line="240" w:lineRule="auto"/>
              <w:jc w:val="center"/>
              <w:rPr>
                <w:rFonts w:eastAsia="Times New Roman" w:cs="Times New Roman"/>
                <w:b/>
                <w:color w:val="000000"/>
                <w:sz w:val="18"/>
                <w:lang w:eastAsia="fr-FR"/>
              </w:rPr>
            </w:pPr>
            <w:r w:rsidRPr="00424A95">
              <w:rPr>
                <w:rFonts w:eastAsia="Times New Roman" w:cs="Times New Roman"/>
                <w:b/>
                <w:color w:val="000000"/>
                <w:sz w:val="18"/>
                <w:lang w:eastAsia="fr-FR"/>
              </w:rPr>
              <w:t>Mar</w:t>
            </w:r>
          </w:p>
        </w:tc>
        <w:tc>
          <w:tcPr>
            <w:tcW w:w="425" w:type="dxa"/>
            <w:tcBorders>
              <w:top w:val="single" w:sz="12" w:space="0" w:color="auto"/>
              <w:left w:val="single" w:sz="12" w:space="0" w:color="auto"/>
              <w:bottom w:val="single" w:sz="12" w:space="0" w:color="auto"/>
              <w:right w:val="single" w:sz="12" w:space="0" w:color="auto"/>
            </w:tcBorders>
            <w:shd w:val="clear" w:color="auto" w:fill="DCE6F1"/>
            <w:noWrap/>
            <w:vAlign w:val="center"/>
            <w:hideMark/>
          </w:tcPr>
          <w:p w14:paraId="148955B1" w14:textId="31B1F5BE" w:rsidR="00424A95" w:rsidRPr="00424A95" w:rsidRDefault="002B413B" w:rsidP="001409D8">
            <w:pPr>
              <w:spacing w:after="0" w:line="240" w:lineRule="auto"/>
              <w:jc w:val="center"/>
              <w:rPr>
                <w:rFonts w:eastAsia="Times New Roman" w:cs="Times New Roman"/>
                <w:b/>
                <w:color w:val="000000"/>
                <w:sz w:val="18"/>
                <w:lang w:eastAsia="fr-FR"/>
              </w:rPr>
            </w:pPr>
            <w:r>
              <w:rPr>
                <w:rFonts w:eastAsia="Times New Roman" w:cs="Times New Roman"/>
                <w:b/>
                <w:color w:val="000000"/>
                <w:sz w:val="18"/>
                <w:lang w:eastAsia="fr-FR"/>
              </w:rPr>
              <w:t>Avr</w:t>
            </w:r>
          </w:p>
        </w:tc>
        <w:tc>
          <w:tcPr>
            <w:tcW w:w="567" w:type="dxa"/>
            <w:tcBorders>
              <w:top w:val="single" w:sz="12" w:space="0" w:color="auto"/>
              <w:left w:val="single" w:sz="12" w:space="0" w:color="auto"/>
              <w:bottom w:val="single" w:sz="12" w:space="0" w:color="auto"/>
              <w:right w:val="single" w:sz="12" w:space="0" w:color="auto"/>
            </w:tcBorders>
            <w:shd w:val="clear" w:color="auto" w:fill="DCE6F1"/>
            <w:noWrap/>
            <w:vAlign w:val="center"/>
            <w:hideMark/>
          </w:tcPr>
          <w:p w14:paraId="73A9153B" w14:textId="2E8BCFF4" w:rsidR="00424A95" w:rsidRPr="00424A95" w:rsidRDefault="00424A95" w:rsidP="001409D8">
            <w:pPr>
              <w:spacing w:after="0" w:line="240" w:lineRule="auto"/>
              <w:jc w:val="center"/>
              <w:rPr>
                <w:rFonts w:eastAsia="Times New Roman" w:cs="Times New Roman"/>
                <w:b/>
                <w:color w:val="000000"/>
                <w:sz w:val="18"/>
                <w:lang w:eastAsia="fr-FR"/>
              </w:rPr>
            </w:pPr>
            <w:r w:rsidRPr="00424A95">
              <w:rPr>
                <w:rFonts w:eastAsia="Times New Roman" w:cs="Times New Roman"/>
                <w:b/>
                <w:color w:val="000000"/>
                <w:sz w:val="18"/>
                <w:lang w:eastAsia="fr-FR"/>
              </w:rPr>
              <w:t>Mai</w:t>
            </w:r>
          </w:p>
        </w:tc>
        <w:tc>
          <w:tcPr>
            <w:tcW w:w="425" w:type="dxa"/>
            <w:tcBorders>
              <w:top w:val="single" w:sz="12" w:space="0" w:color="auto"/>
              <w:left w:val="single" w:sz="12" w:space="0" w:color="auto"/>
              <w:bottom w:val="single" w:sz="12" w:space="0" w:color="auto"/>
              <w:right w:val="single" w:sz="12" w:space="0" w:color="auto"/>
            </w:tcBorders>
            <w:shd w:val="clear" w:color="auto" w:fill="DCE6F1"/>
            <w:noWrap/>
            <w:vAlign w:val="center"/>
            <w:hideMark/>
          </w:tcPr>
          <w:p w14:paraId="38A05F89" w14:textId="02CF72BE" w:rsidR="00424A95" w:rsidRPr="00424A95" w:rsidRDefault="00424A95" w:rsidP="001409D8">
            <w:pPr>
              <w:spacing w:after="0" w:line="240" w:lineRule="auto"/>
              <w:jc w:val="center"/>
              <w:rPr>
                <w:rFonts w:eastAsia="Times New Roman" w:cs="Times New Roman"/>
                <w:b/>
                <w:color w:val="000000"/>
                <w:sz w:val="18"/>
                <w:lang w:eastAsia="fr-FR"/>
              </w:rPr>
            </w:pPr>
            <w:r w:rsidRPr="00424A95">
              <w:rPr>
                <w:rFonts w:eastAsia="Times New Roman" w:cs="Times New Roman"/>
                <w:b/>
                <w:color w:val="000000"/>
                <w:sz w:val="18"/>
                <w:lang w:eastAsia="fr-FR"/>
              </w:rPr>
              <w:t>Jui</w:t>
            </w:r>
          </w:p>
        </w:tc>
        <w:tc>
          <w:tcPr>
            <w:tcW w:w="425" w:type="dxa"/>
            <w:tcBorders>
              <w:top w:val="single" w:sz="12" w:space="0" w:color="auto"/>
              <w:left w:val="single" w:sz="12" w:space="0" w:color="auto"/>
              <w:bottom w:val="single" w:sz="12" w:space="0" w:color="auto"/>
              <w:right w:val="single" w:sz="12" w:space="0" w:color="auto"/>
            </w:tcBorders>
            <w:shd w:val="clear" w:color="auto" w:fill="DCE6F1"/>
            <w:noWrap/>
            <w:vAlign w:val="center"/>
            <w:hideMark/>
          </w:tcPr>
          <w:p w14:paraId="7B7DE235" w14:textId="01BE2620" w:rsidR="00424A95" w:rsidRPr="00424A95" w:rsidRDefault="00424A95" w:rsidP="001409D8">
            <w:pPr>
              <w:spacing w:after="0" w:line="240" w:lineRule="auto"/>
              <w:jc w:val="center"/>
              <w:rPr>
                <w:rFonts w:eastAsia="Times New Roman" w:cs="Times New Roman"/>
                <w:b/>
                <w:color w:val="000000"/>
                <w:sz w:val="18"/>
                <w:lang w:eastAsia="fr-FR"/>
              </w:rPr>
            </w:pPr>
            <w:r w:rsidRPr="00424A95">
              <w:rPr>
                <w:rFonts w:eastAsia="Times New Roman" w:cs="Times New Roman"/>
                <w:b/>
                <w:color w:val="000000"/>
                <w:sz w:val="18"/>
                <w:lang w:eastAsia="fr-FR"/>
              </w:rPr>
              <w:t>Jul</w:t>
            </w:r>
          </w:p>
        </w:tc>
        <w:tc>
          <w:tcPr>
            <w:tcW w:w="567" w:type="dxa"/>
            <w:tcBorders>
              <w:top w:val="single" w:sz="12" w:space="0" w:color="auto"/>
              <w:left w:val="single" w:sz="12" w:space="0" w:color="auto"/>
              <w:bottom w:val="single" w:sz="12" w:space="0" w:color="auto"/>
              <w:right w:val="single" w:sz="12" w:space="0" w:color="auto"/>
            </w:tcBorders>
            <w:shd w:val="clear" w:color="auto" w:fill="DCE6F1"/>
            <w:noWrap/>
            <w:vAlign w:val="center"/>
            <w:hideMark/>
          </w:tcPr>
          <w:p w14:paraId="275C0A7C" w14:textId="492C0A3A" w:rsidR="00424A95" w:rsidRPr="00424A95" w:rsidRDefault="00424A95" w:rsidP="001409D8">
            <w:pPr>
              <w:spacing w:after="0" w:line="240" w:lineRule="auto"/>
              <w:jc w:val="center"/>
              <w:rPr>
                <w:rFonts w:eastAsia="Times New Roman" w:cs="Times New Roman"/>
                <w:b/>
                <w:color w:val="000000"/>
                <w:sz w:val="18"/>
                <w:lang w:eastAsia="fr-FR"/>
              </w:rPr>
            </w:pPr>
            <w:r w:rsidRPr="00424A95">
              <w:rPr>
                <w:rFonts w:eastAsia="Times New Roman" w:cs="Times New Roman"/>
                <w:b/>
                <w:color w:val="000000"/>
                <w:sz w:val="18"/>
                <w:lang w:eastAsia="fr-FR"/>
              </w:rPr>
              <w:t>Aou</w:t>
            </w:r>
          </w:p>
        </w:tc>
        <w:tc>
          <w:tcPr>
            <w:tcW w:w="426" w:type="dxa"/>
            <w:tcBorders>
              <w:top w:val="single" w:sz="12" w:space="0" w:color="auto"/>
              <w:left w:val="single" w:sz="12" w:space="0" w:color="auto"/>
              <w:bottom w:val="single" w:sz="12" w:space="0" w:color="auto"/>
              <w:right w:val="single" w:sz="12" w:space="0" w:color="auto"/>
            </w:tcBorders>
            <w:shd w:val="clear" w:color="auto" w:fill="DCE6F1"/>
            <w:noWrap/>
            <w:vAlign w:val="center"/>
            <w:hideMark/>
          </w:tcPr>
          <w:p w14:paraId="110AFB03" w14:textId="719499A4" w:rsidR="00424A95" w:rsidRPr="00424A95" w:rsidRDefault="00424A95" w:rsidP="001409D8">
            <w:pPr>
              <w:spacing w:after="0" w:line="240" w:lineRule="auto"/>
              <w:jc w:val="center"/>
              <w:rPr>
                <w:rFonts w:eastAsia="Times New Roman" w:cs="Times New Roman"/>
                <w:b/>
                <w:color w:val="000000"/>
                <w:sz w:val="18"/>
                <w:lang w:eastAsia="fr-FR"/>
              </w:rPr>
            </w:pPr>
            <w:r w:rsidRPr="00424A95">
              <w:rPr>
                <w:rFonts w:eastAsia="Times New Roman" w:cs="Times New Roman"/>
                <w:b/>
                <w:color w:val="000000"/>
                <w:sz w:val="18"/>
                <w:lang w:eastAsia="fr-FR"/>
              </w:rPr>
              <w:t>Sep</w:t>
            </w:r>
          </w:p>
        </w:tc>
        <w:tc>
          <w:tcPr>
            <w:tcW w:w="425" w:type="dxa"/>
            <w:tcBorders>
              <w:top w:val="single" w:sz="12" w:space="0" w:color="auto"/>
              <w:left w:val="single" w:sz="12" w:space="0" w:color="auto"/>
              <w:bottom w:val="single" w:sz="12" w:space="0" w:color="auto"/>
              <w:right w:val="single" w:sz="12" w:space="0" w:color="auto"/>
            </w:tcBorders>
            <w:shd w:val="clear" w:color="auto" w:fill="DCE6F1"/>
            <w:noWrap/>
            <w:vAlign w:val="center"/>
            <w:hideMark/>
          </w:tcPr>
          <w:p w14:paraId="6D4C4BE6" w14:textId="13EFA73E" w:rsidR="00424A95" w:rsidRPr="00424A95" w:rsidRDefault="00424A95" w:rsidP="001409D8">
            <w:pPr>
              <w:spacing w:after="0" w:line="240" w:lineRule="auto"/>
              <w:jc w:val="center"/>
              <w:rPr>
                <w:rFonts w:eastAsia="Times New Roman" w:cs="Times New Roman"/>
                <w:b/>
                <w:color w:val="000000"/>
                <w:sz w:val="18"/>
                <w:lang w:eastAsia="fr-FR"/>
              </w:rPr>
            </w:pPr>
            <w:r w:rsidRPr="00424A95">
              <w:rPr>
                <w:rFonts w:eastAsia="Times New Roman" w:cs="Times New Roman"/>
                <w:b/>
                <w:color w:val="000000"/>
                <w:sz w:val="18"/>
                <w:lang w:eastAsia="fr-FR"/>
              </w:rPr>
              <w:t>Oct</w:t>
            </w:r>
          </w:p>
        </w:tc>
        <w:tc>
          <w:tcPr>
            <w:tcW w:w="567" w:type="dxa"/>
            <w:tcBorders>
              <w:top w:val="single" w:sz="12" w:space="0" w:color="auto"/>
              <w:left w:val="single" w:sz="12" w:space="0" w:color="auto"/>
              <w:bottom w:val="single" w:sz="12" w:space="0" w:color="auto"/>
              <w:right w:val="single" w:sz="12" w:space="0" w:color="auto"/>
            </w:tcBorders>
            <w:shd w:val="clear" w:color="auto" w:fill="DCE6F1"/>
            <w:noWrap/>
            <w:vAlign w:val="center"/>
            <w:hideMark/>
          </w:tcPr>
          <w:p w14:paraId="23089E08" w14:textId="6507ED1A" w:rsidR="00424A95" w:rsidRPr="00424A95" w:rsidRDefault="00424A95" w:rsidP="001409D8">
            <w:pPr>
              <w:spacing w:after="0" w:line="240" w:lineRule="auto"/>
              <w:jc w:val="center"/>
              <w:rPr>
                <w:rFonts w:eastAsia="Times New Roman" w:cs="Times New Roman"/>
                <w:b/>
                <w:color w:val="000000"/>
                <w:sz w:val="18"/>
                <w:lang w:eastAsia="fr-FR"/>
              </w:rPr>
            </w:pPr>
            <w:r w:rsidRPr="00424A95">
              <w:rPr>
                <w:rFonts w:eastAsia="Times New Roman" w:cs="Times New Roman"/>
                <w:b/>
                <w:color w:val="000000"/>
                <w:sz w:val="18"/>
                <w:lang w:eastAsia="fr-FR"/>
              </w:rPr>
              <w:t>Nov</w:t>
            </w:r>
          </w:p>
        </w:tc>
        <w:tc>
          <w:tcPr>
            <w:tcW w:w="425" w:type="dxa"/>
            <w:tcBorders>
              <w:top w:val="single" w:sz="12" w:space="0" w:color="auto"/>
              <w:left w:val="single" w:sz="12" w:space="0" w:color="auto"/>
              <w:bottom w:val="single" w:sz="12" w:space="0" w:color="auto"/>
              <w:right w:val="single" w:sz="12" w:space="0" w:color="auto"/>
            </w:tcBorders>
            <w:shd w:val="clear" w:color="auto" w:fill="DCE6F1"/>
            <w:noWrap/>
            <w:vAlign w:val="center"/>
            <w:hideMark/>
          </w:tcPr>
          <w:p w14:paraId="1CA36CE7" w14:textId="6CF2B79A" w:rsidR="00424A95" w:rsidRPr="00424A95" w:rsidRDefault="00424A95" w:rsidP="001409D8">
            <w:pPr>
              <w:spacing w:after="0" w:line="240" w:lineRule="auto"/>
              <w:jc w:val="center"/>
              <w:rPr>
                <w:rFonts w:eastAsia="Times New Roman" w:cs="Times New Roman"/>
                <w:b/>
                <w:color w:val="000000"/>
                <w:sz w:val="18"/>
                <w:lang w:eastAsia="fr-FR"/>
              </w:rPr>
            </w:pPr>
            <w:r w:rsidRPr="00424A95">
              <w:rPr>
                <w:rFonts w:eastAsia="Times New Roman" w:cs="Times New Roman"/>
                <w:b/>
                <w:color w:val="000000"/>
                <w:sz w:val="18"/>
                <w:lang w:eastAsia="fr-FR"/>
              </w:rPr>
              <w:t>Dec</w:t>
            </w:r>
          </w:p>
        </w:tc>
        <w:tc>
          <w:tcPr>
            <w:tcW w:w="425" w:type="dxa"/>
            <w:tcBorders>
              <w:top w:val="single" w:sz="12" w:space="0" w:color="auto"/>
              <w:left w:val="single" w:sz="12" w:space="0" w:color="auto"/>
              <w:bottom w:val="single" w:sz="12" w:space="0" w:color="auto"/>
              <w:right w:val="single" w:sz="12" w:space="0" w:color="auto"/>
            </w:tcBorders>
            <w:shd w:val="clear" w:color="auto" w:fill="DCE6F1"/>
            <w:noWrap/>
            <w:vAlign w:val="center"/>
            <w:hideMark/>
          </w:tcPr>
          <w:p w14:paraId="4495A525" w14:textId="244DE67A" w:rsidR="00424A95" w:rsidRPr="00424A95" w:rsidRDefault="00424A95" w:rsidP="001409D8">
            <w:pPr>
              <w:spacing w:after="0" w:line="240" w:lineRule="auto"/>
              <w:jc w:val="center"/>
              <w:rPr>
                <w:rFonts w:eastAsia="Times New Roman" w:cs="Times New Roman"/>
                <w:b/>
                <w:color w:val="000000"/>
                <w:sz w:val="18"/>
                <w:lang w:eastAsia="fr-FR"/>
              </w:rPr>
            </w:pPr>
            <w:r w:rsidRPr="00424A95">
              <w:rPr>
                <w:rFonts w:eastAsia="Times New Roman" w:cs="Times New Roman"/>
                <w:b/>
                <w:color w:val="000000"/>
                <w:sz w:val="18"/>
                <w:lang w:eastAsia="fr-FR"/>
              </w:rPr>
              <w:t>Jan</w:t>
            </w:r>
          </w:p>
        </w:tc>
        <w:tc>
          <w:tcPr>
            <w:tcW w:w="426" w:type="dxa"/>
            <w:tcBorders>
              <w:top w:val="single" w:sz="12" w:space="0" w:color="auto"/>
              <w:left w:val="single" w:sz="12" w:space="0" w:color="auto"/>
              <w:bottom w:val="single" w:sz="12" w:space="0" w:color="auto"/>
              <w:right w:val="single" w:sz="12" w:space="0" w:color="auto"/>
            </w:tcBorders>
            <w:shd w:val="clear" w:color="auto" w:fill="DCE6F1"/>
            <w:noWrap/>
            <w:vAlign w:val="center"/>
            <w:hideMark/>
          </w:tcPr>
          <w:p w14:paraId="3BED645E" w14:textId="3015C135" w:rsidR="00424A95" w:rsidRPr="00424A95" w:rsidRDefault="00424A95" w:rsidP="001409D8">
            <w:pPr>
              <w:spacing w:after="0" w:line="240" w:lineRule="auto"/>
              <w:jc w:val="center"/>
              <w:rPr>
                <w:rFonts w:eastAsia="Times New Roman" w:cs="Times New Roman"/>
                <w:b/>
                <w:color w:val="000000"/>
                <w:sz w:val="18"/>
                <w:lang w:eastAsia="fr-FR"/>
              </w:rPr>
            </w:pPr>
            <w:r w:rsidRPr="00424A95">
              <w:rPr>
                <w:rFonts w:eastAsia="Times New Roman" w:cs="Times New Roman"/>
                <w:b/>
                <w:color w:val="000000"/>
                <w:sz w:val="18"/>
                <w:lang w:eastAsia="fr-FR"/>
              </w:rPr>
              <w:t>Fev</w:t>
            </w:r>
          </w:p>
        </w:tc>
        <w:tc>
          <w:tcPr>
            <w:tcW w:w="567" w:type="dxa"/>
            <w:tcBorders>
              <w:top w:val="single" w:sz="12" w:space="0" w:color="auto"/>
              <w:left w:val="single" w:sz="12" w:space="0" w:color="auto"/>
              <w:bottom w:val="single" w:sz="12" w:space="0" w:color="auto"/>
              <w:right w:val="single" w:sz="12" w:space="0" w:color="auto"/>
            </w:tcBorders>
            <w:shd w:val="clear" w:color="auto" w:fill="DCE6F1"/>
            <w:noWrap/>
            <w:vAlign w:val="center"/>
            <w:hideMark/>
          </w:tcPr>
          <w:p w14:paraId="1D304184" w14:textId="57FE2AA1" w:rsidR="00424A95" w:rsidRPr="00424A95" w:rsidRDefault="00424A95" w:rsidP="001409D8">
            <w:pPr>
              <w:spacing w:after="0" w:line="240" w:lineRule="auto"/>
              <w:jc w:val="center"/>
              <w:rPr>
                <w:rFonts w:eastAsia="Times New Roman" w:cs="Times New Roman"/>
                <w:b/>
                <w:color w:val="000000"/>
                <w:sz w:val="18"/>
                <w:lang w:eastAsia="fr-FR"/>
              </w:rPr>
            </w:pPr>
            <w:r w:rsidRPr="00424A95">
              <w:rPr>
                <w:rFonts w:eastAsia="Times New Roman" w:cs="Times New Roman"/>
                <w:b/>
                <w:color w:val="000000"/>
                <w:sz w:val="18"/>
                <w:lang w:eastAsia="fr-FR"/>
              </w:rPr>
              <w:t>Mar</w:t>
            </w:r>
          </w:p>
        </w:tc>
        <w:tc>
          <w:tcPr>
            <w:tcW w:w="425" w:type="dxa"/>
            <w:tcBorders>
              <w:top w:val="single" w:sz="12" w:space="0" w:color="auto"/>
              <w:left w:val="single" w:sz="12" w:space="0" w:color="auto"/>
              <w:bottom w:val="single" w:sz="12" w:space="0" w:color="auto"/>
              <w:right w:val="single" w:sz="12" w:space="0" w:color="auto"/>
            </w:tcBorders>
            <w:shd w:val="clear" w:color="auto" w:fill="DCE6F1"/>
            <w:vAlign w:val="center"/>
            <w:hideMark/>
          </w:tcPr>
          <w:p w14:paraId="5F4E36D9" w14:textId="0954503D" w:rsidR="00424A95" w:rsidRPr="00424A95" w:rsidRDefault="00424A95" w:rsidP="001409D8">
            <w:pPr>
              <w:spacing w:after="0" w:line="240" w:lineRule="auto"/>
              <w:jc w:val="center"/>
              <w:rPr>
                <w:rFonts w:eastAsia="Times New Roman" w:cs="Times New Roman"/>
                <w:b/>
                <w:color w:val="000000"/>
                <w:sz w:val="18"/>
                <w:lang w:eastAsia="fr-FR"/>
              </w:rPr>
            </w:pPr>
            <w:r w:rsidRPr="00424A95">
              <w:rPr>
                <w:rFonts w:eastAsia="Times New Roman" w:cs="Times New Roman"/>
                <w:b/>
                <w:color w:val="000000"/>
                <w:sz w:val="18"/>
                <w:lang w:eastAsia="fr-FR"/>
              </w:rPr>
              <w:t>Avr</w:t>
            </w:r>
          </w:p>
        </w:tc>
        <w:tc>
          <w:tcPr>
            <w:tcW w:w="567" w:type="dxa"/>
            <w:tcBorders>
              <w:top w:val="single" w:sz="12" w:space="0" w:color="auto"/>
              <w:left w:val="single" w:sz="12" w:space="0" w:color="auto"/>
              <w:bottom w:val="single" w:sz="12" w:space="0" w:color="auto"/>
              <w:right w:val="single" w:sz="12" w:space="0" w:color="auto"/>
            </w:tcBorders>
            <w:shd w:val="clear" w:color="auto" w:fill="DCE6F1"/>
            <w:vAlign w:val="center"/>
            <w:hideMark/>
          </w:tcPr>
          <w:p w14:paraId="569B1120" w14:textId="72F9219B" w:rsidR="00424A95" w:rsidRPr="00424A95" w:rsidRDefault="00424A95" w:rsidP="001409D8">
            <w:pPr>
              <w:spacing w:after="0" w:line="240" w:lineRule="auto"/>
              <w:jc w:val="center"/>
              <w:rPr>
                <w:rFonts w:eastAsia="Times New Roman" w:cs="Times New Roman"/>
                <w:b/>
                <w:color w:val="000000"/>
                <w:sz w:val="18"/>
                <w:lang w:eastAsia="fr-FR"/>
              </w:rPr>
            </w:pPr>
            <w:r w:rsidRPr="00424A95">
              <w:rPr>
                <w:rFonts w:eastAsia="Times New Roman" w:cs="Times New Roman"/>
                <w:b/>
                <w:color w:val="000000"/>
                <w:sz w:val="18"/>
                <w:lang w:eastAsia="fr-FR"/>
              </w:rPr>
              <w:t>Mai</w:t>
            </w:r>
          </w:p>
        </w:tc>
        <w:tc>
          <w:tcPr>
            <w:tcW w:w="425" w:type="dxa"/>
            <w:tcBorders>
              <w:top w:val="single" w:sz="12" w:space="0" w:color="auto"/>
              <w:left w:val="single" w:sz="12" w:space="0" w:color="auto"/>
              <w:bottom w:val="single" w:sz="12" w:space="0" w:color="auto"/>
              <w:right w:val="single" w:sz="12" w:space="0" w:color="auto"/>
            </w:tcBorders>
            <w:shd w:val="clear" w:color="auto" w:fill="DCE6F1"/>
            <w:vAlign w:val="center"/>
            <w:hideMark/>
          </w:tcPr>
          <w:p w14:paraId="15ECE0DA" w14:textId="2A843DC4" w:rsidR="00424A95" w:rsidRPr="00424A95" w:rsidRDefault="00424A95" w:rsidP="001409D8">
            <w:pPr>
              <w:spacing w:after="0" w:line="240" w:lineRule="auto"/>
              <w:jc w:val="center"/>
              <w:rPr>
                <w:rFonts w:eastAsia="Times New Roman" w:cs="Times New Roman"/>
                <w:b/>
                <w:color w:val="000000"/>
                <w:sz w:val="18"/>
                <w:lang w:eastAsia="fr-FR"/>
              </w:rPr>
            </w:pPr>
            <w:r w:rsidRPr="00424A95">
              <w:rPr>
                <w:rFonts w:eastAsia="Times New Roman" w:cs="Times New Roman"/>
                <w:b/>
                <w:color w:val="000000"/>
                <w:sz w:val="18"/>
                <w:lang w:eastAsia="fr-FR"/>
              </w:rPr>
              <w:t>Jui</w:t>
            </w:r>
          </w:p>
        </w:tc>
        <w:tc>
          <w:tcPr>
            <w:tcW w:w="425" w:type="dxa"/>
            <w:tcBorders>
              <w:top w:val="single" w:sz="12" w:space="0" w:color="auto"/>
              <w:left w:val="single" w:sz="12" w:space="0" w:color="auto"/>
              <w:bottom w:val="single" w:sz="12" w:space="0" w:color="auto"/>
              <w:right w:val="single" w:sz="12" w:space="0" w:color="auto"/>
            </w:tcBorders>
            <w:shd w:val="clear" w:color="auto" w:fill="DCE6F1"/>
            <w:noWrap/>
            <w:vAlign w:val="center"/>
            <w:hideMark/>
          </w:tcPr>
          <w:p w14:paraId="3B7AD813" w14:textId="40F7D15A" w:rsidR="00424A95" w:rsidRPr="00424A95" w:rsidRDefault="00424A95" w:rsidP="001409D8">
            <w:pPr>
              <w:spacing w:after="0" w:line="240" w:lineRule="auto"/>
              <w:jc w:val="center"/>
              <w:rPr>
                <w:rFonts w:eastAsia="Times New Roman" w:cs="Times New Roman"/>
                <w:b/>
                <w:color w:val="000000"/>
                <w:sz w:val="18"/>
                <w:lang w:eastAsia="fr-FR"/>
              </w:rPr>
            </w:pPr>
            <w:r w:rsidRPr="00424A95">
              <w:rPr>
                <w:rFonts w:eastAsia="Times New Roman" w:cs="Times New Roman"/>
                <w:b/>
                <w:color w:val="000000"/>
                <w:sz w:val="18"/>
                <w:lang w:eastAsia="fr-FR"/>
              </w:rPr>
              <w:t>Jul</w:t>
            </w:r>
          </w:p>
        </w:tc>
        <w:tc>
          <w:tcPr>
            <w:tcW w:w="567" w:type="dxa"/>
            <w:tcBorders>
              <w:top w:val="single" w:sz="12" w:space="0" w:color="auto"/>
              <w:left w:val="single" w:sz="12" w:space="0" w:color="auto"/>
              <w:bottom w:val="single" w:sz="12" w:space="0" w:color="auto"/>
              <w:right w:val="single" w:sz="12" w:space="0" w:color="auto"/>
            </w:tcBorders>
            <w:shd w:val="clear" w:color="auto" w:fill="DCE6F1"/>
            <w:vAlign w:val="center"/>
          </w:tcPr>
          <w:p w14:paraId="5FF3075B" w14:textId="33318509" w:rsidR="00424A95" w:rsidRPr="00424A95" w:rsidRDefault="00424A95" w:rsidP="00424A95">
            <w:pPr>
              <w:spacing w:after="0" w:line="240" w:lineRule="auto"/>
              <w:jc w:val="center"/>
              <w:rPr>
                <w:rFonts w:eastAsia="Times New Roman" w:cs="Times New Roman"/>
                <w:b/>
                <w:color w:val="000000"/>
                <w:sz w:val="18"/>
                <w:lang w:eastAsia="fr-FR"/>
              </w:rPr>
            </w:pPr>
            <w:r w:rsidRPr="00424A95">
              <w:rPr>
                <w:rFonts w:eastAsia="Times New Roman" w:cs="Times New Roman"/>
                <w:b/>
                <w:color w:val="000000"/>
                <w:sz w:val="18"/>
                <w:lang w:eastAsia="fr-FR"/>
              </w:rPr>
              <w:t>Aou</w:t>
            </w:r>
          </w:p>
        </w:tc>
        <w:tc>
          <w:tcPr>
            <w:tcW w:w="567" w:type="dxa"/>
            <w:tcBorders>
              <w:top w:val="single" w:sz="12" w:space="0" w:color="auto"/>
              <w:left w:val="single" w:sz="12" w:space="0" w:color="auto"/>
              <w:bottom w:val="single" w:sz="12" w:space="0" w:color="auto"/>
              <w:right w:val="single" w:sz="12" w:space="0" w:color="auto"/>
            </w:tcBorders>
            <w:shd w:val="clear" w:color="auto" w:fill="DCE6F1"/>
            <w:vAlign w:val="center"/>
          </w:tcPr>
          <w:p w14:paraId="49008EBE" w14:textId="0E9E13D2" w:rsidR="00424A95" w:rsidRPr="00424A95" w:rsidRDefault="00424A95" w:rsidP="00424A95">
            <w:pPr>
              <w:spacing w:after="0" w:line="240" w:lineRule="auto"/>
              <w:jc w:val="center"/>
              <w:rPr>
                <w:rFonts w:eastAsia="Times New Roman" w:cs="Times New Roman"/>
                <w:b/>
                <w:color w:val="000000"/>
                <w:sz w:val="18"/>
                <w:lang w:eastAsia="fr-FR"/>
              </w:rPr>
            </w:pPr>
            <w:r w:rsidRPr="00424A95">
              <w:rPr>
                <w:rFonts w:eastAsia="Times New Roman" w:cs="Times New Roman"/>
                <w:b/>
                <w:color w:val="000000"/>
                <w:sz w:val="18"/>
                <w:lang w:eastAsia="fr-FR"/>
              </w:rPr>
              <w:t>Sept</w:t>
            </w:r>
          </w:p>
        </w:tc>
        <w:tc>
          <w:tcPr>
            <w:tcW w:w="426" w:type="dxa"/>
            <w:tcBorders>
              <w:top w:val="single" w:sz="12" w:space="0" w:color="auto"/>
              <w:left w:val="single" w:sz="12" w:space="0" w:color="auto"/>
              <w:bottom w:val="single" w:sz="12" w:space="0" w:color="auto"/>
              <w:right w:val="single" w:sz="12" w:space="0" w:color="auto"/>
            </w:tcBorders>
            <w:shd w:val="clear" w:color="auto" w:fill="DCE6F1"/>
            <w:vAlign w:val="center"/>
          </w:tcPr>
          <w:p w14:paraId="1903DB42" w14:textId="4972BB0B" w:rsidR="00424A95" w:rsidRPr="00424A95" w:rsidRDefault="00424A95" w:rsidP="00424A95">
            <w:pPr>
              <w:spacing w:after="0" w:line="240" w:lineRule="auto"/>
              <w:jc w:val="center"/>
              <w:rPr>
                <w:rFonts w:eastAsia="Times New Roman" w:cs="Times New Roman"/>
                <w:b/>
                <w:color w:val="000000"/>
                <w:sz w:val="18"/>
                <w:lang w:eastAsia="fr-FR"/>
              </w:rPr>
            </w:pPr>
            <w:r w:rsidRPr="00424A95">
              <w:rPr>
                <w:rFonts w:eastAsia="Times New Roman" w:cs="Times New Roman"/>
                <w:b/>
                <w:color w:val="000000"/>
                <w:sz w:val="18"/>
                <w:lang w:eastAsia="fr-FR"/>
              </w:rPr>
              <w:t>Oct</w:t>
            </w:r>
          </w:p>
        </w:tc>
        <w:tc>
          <w:tcPr>
            <w:tcW w:w="567" w:type="dxa"/>
            <w:tcBorders>
              <w:top w:val="single" w:sz="12" w:space="0" w:color="auto"/>
              <w:left w:val="single" w:sz="12" w:space="0" w:color="auto"/>
              <w:bottom w:val="single" w:sz="12" w:space="0" w:color="auto"/>
              <w:right w:val="single" w:sz="12" w:space="0" w:color="auto"/>
            </w:tcBorders>
            <w:shd w:val="clear" w:color="auto" w:fill="DCE6F1"/>
            <w:vAlign w:val="center"/>
          </w:tcPr>
          <w:p w14:paraId="49CB15E4" w14:textId="0B89CC45" w:rsidR="00424A95" w:rsidRPr="00424A95" w:rsidRDefault="00424A95" w:rsidP="00424A95">
            <w:pPr>
              <w:spacing w:after="0" w:line="240" w:lineRule="auto"/>
              <w:jc w:val="center"/>
              <w:rPr>
                <w:rFonts w:eastAsia="Times New Roman" w:cs="Times New Roman"/>
                <w:b/>
                <w:color w:val="000000"/>
                <w:sz w:val="18"/>
                <w:lang w:eastAsia="fr-FR"/>
              </w:rPr>
            </w:pPr>
            <w:r w:rsidRPr="00424A95">
              <w:rPr>
                <w:rFonts w:eastAsia="Times New Roman" w:cs="Times New Roman"/>
                <w:b/>
                <w:color w:val="000000"/>
                <w:sz w:val="18"/>
                <w:lang w:eastAsia="fr-FR"/>
              </w:rPr>
              <w:t>Nov</w:t>
            </w:r>
          </w:p>
        </w:tc>
        <w:tc>
          <w:tcPr>
            <w:tcW w:w="567" w:type="dxa"/>
            <w:tcBorders>
              <w:top w:val="single" w:sz="12" w:space="0" w:color="auto"/>
              <w:left w:val="single" w:sz="12" w:space="0" w:color="auto"/>
              <w:bottom w:val="single" w:sz="12" w:space="0" w:color="auto"/>
              <w:right w:val="single" w:sz="12" w:space="0" w:color="auto"/>
            </w:tcBorders>
            <w:shd w:val="clear" w:color="auto" w:fill="DCE6F1"/>
            <w:vAlign w:val="center"/>
          </w:tcPr>
          <w:p w14:paraId="7BED2ADC" w14:textId="625CC07F" w:rsidR="00424A95" w:rsidRPr="00424A95" w:rsidRDefault="00424A95" w:rsidP="00424A95">
            <w:pPr>
              <w:spacing w:after="0" w:line="240" w:lineRule="auto"/>
              <w:jc w:val="center"/>
              <w:rPr>
                <w:rFonts w:eastAsia="Times New Roman" w:cs="Times New Roman"/>
                <w:b/>
                <w:color w:val="000000"/>
                <w:sz w:val="18"/>
                <w:lang w:eastAsia="fr-FR"/>
              </w:rPr>
            </w:pPr>
            <w:r w:rsidRPr="00424A95">
              <w:rPr>
                <w:rFonts w:eastAsia="Times New Roman" w:cs="Times New Roman"/>
                <w:b/>
                <w:color w:val="000000"/>
                <w:sz w:val="18"/>
                <w:lang w:eastAsia="fr-FR"/>
              </w:rPr>
              <w:t>Dec</w:t>
            </w:r>
          </w:p>
        </w:tc>
      </w:tr>
      <w:tr w:rsidR="00424A95" w14:paraId="0A9A21CC" w14:textId="7421BB58" w:rsidTr="000C2CDA">
        <w:trPr>
          <w:trHeight w:val="495"/>
        </w:trPr>
        <w:tc>
          <w:tcPr>
            <w:tcW w:w="1915" w:type="dxa"/>
            <w:tcBorders>
              <w:top w:val="single" w:sz="12" w:space="0" w:color="auto"/>
              <w:left w:val="single" w:sz="12" w:space="0" w:color="auto"/>
              <w:bottom w:val="single" w:sz="12" w:space="0" w:color="auto"/>
              <w:right w:val="single" w:sz="12" w:space="0" w:color="auto"/>
            </w:tcBorders>
            <w:shd w:val="clear" w:color="auto" w:fill="92D050"/>
            <w:vAlign w:val="center"/>
            <w:hideMark/>
          </w:tcPr>
          <w:p w14:paraId="4D8B76DB" w14:textId="77777777" w:rsidR="00424A95" w:rsidRDefault="00424A95" w:rsidP="001409D8">
            <w:pPr>
              <w:spacing w:after="0" w:line="240" w:lineRule="auto"/>
              <w:rPr>
                <w:rFonts w:eastAsia="Times New Roman" w:cs="Times New Roman"/>
                <w:b/>
                <w:color w:val="000000"/>
                <w:lang w:eastAsia="fr-FR"/>
              </w:rPr>
            </w:pPr>
            <w:r>
              <w:rPr>
                <w:rFonts w:eastAsia="Times New Roman" w:cs="Times New Roman"/>
                <w:b/>
                <w:color w:val="000000"/>
                <w:lang w:eastAsia="fr-FR"/>
              </w:rPr>
              <w:t>LEADERSHIP</w:t>
            </w:r>
          </w:p>
        </w:tc>
        <w:tc>
          <w:tcPr>
            <w:tcW w:w="850" w:type="dxa"/>
            <w:tcBorders>
              <w:top w:val="single" w:sz="12" w:space="0" w:color="auto"/>
              <w:left w:val="single" w:sz="12" w:space="0" w:color="auto"/>
              <w:bottom w:val="single" w:sz="12" w:space="0" w:color="auto"/>
              <w:right w:val="single" w:sz="12" w:space="0" w:color="auto"/>
            </w:tcBorders>
            <w:vAlign w:val="center"/>
          </w:tcPr>
          <w:p w14:paraId="7A5B89B2" w14:textId="77777777" w:rsidR="00424A95" w:rsidRDefault="00424A95" w:rsidP="001409D8">
            <w:pPr>
              <w:spacing w:after="0" w:line="240" w:lineRule="auto"/>
              <w:jc w:val="center"/>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24BE5F36"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6" w:type="dxa"/>
            <w:tcBorders>
              <w:top w:val="single" w:sz="12" w:space="0" w:color="auto"/>
              <w:left w:val="single" w:sz="12" w:space="0" w:color="auto"/>
              <w:bottom w:val="single" w:sz="12" w:space="0" w:color="auto"/>
              <w:right w:val="single" w:sz="12" w:space="0" w:color="auto"/>
            </w:tcBorders>
            <w:noWrap/>
            <w:vAlign w:val="bottom"/>
            <w:hideMark/>
          </w:tcPr>
          <w:p w14:paraId="365763AC"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51979B25"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4E86BC77"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21F90291"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68E42647"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139D5513"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15D5873B"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3BB1A74B"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6" w:type="dxa"/>
            <w:tcBorders>
              <w:top w:val="single" w:sz="12" w:space="0" w:color="auto"/>
              <w:left w:val="single" w:sz="12" w:space="0" w:color="auto"/>
              <w:bottom w:val="single" w:sz="12" w:space="0" w:color="auto"/>
              <w:right w:val="single" w:sz="12" w:space="0" w:color="auto"/>
            </w:tcBorders>
            <w:noWrap/>
            <w:vAlign w:val="bottom"/>
            <w:hideMark/>
          </w:tcPr>
          <w:p w14:paraId="296BBF51"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25973C73"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35F6E032"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5B039E87"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34E57C02"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6" w:type="dxa"/>
            <w:tcBorders>
              <w:top w:val="single" w:sz="12" w:space="0" w:color="auto"/>
              <w:left w:val="single" w:sz="12" w:space="0" w:color="auto"/>
              <w:bottom w:val="single" w:sz="12" w:space="0" w:color="auto"/>
              <w:right w:val="single" w:sz="12" w:space="0" w:color="auto"/>
            </w:tcBorders>
            <w:noWrap/>
            <w:vAlign w:val="bottom"/>
            <w:hideMark/>
          </w:tcPr>
          <w:p w14:paraId="62D31FD5"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587916AE"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tcPr>
          <w:p w14:paraId="3867E50E"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04CB2DBF" w14:textId="77777777" w:rsidR="00424A95" w:rsidRDefault="00424A95"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tcPr>
          <w:p w14:paraId="01A69BD5" w14:textId="77777777" w:rsidR="00424A95" w:rsidRDefault="00424A95"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6FB4EAA1"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tcPr>
          <w:p w14:paraId="624239E6"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4831F17E" w14:textId="77777777" w:rsidR="00424A95" w:rsidRDefault="00424A95" w:rsidP="001409D8">
            <w:pPr>
              <w:spacing w:after="0" w:line="240" w:lineRule="auto"/>
              <w:rPr>
                <w:rFonts w:eastAsia="Times New Roman" w:cs="Times New Roman"/>
                <w:color w:val="000000"/>
                <w:lang w:eastAsia="fr-FR"/>
              </w:rPr>
            </w:pPr>
          </w:p>
        </w:tc>
        <w:tc>
          <w:tcPr>
            <w:tcW w:w="426" w:type="dxa"/>
            <w:tcBorders>
              <w:top w:val="single" w:sz="12" w:space="0" w:color="auto"/>
              <w:left w:val="single" w:sz="12" w:space="0" w:color="auto"/>
              <w:bottom w:val="single" w:sz="12" w:space="0" w:color="auto"/>
              <w:right w:val="single" w:sz="12" w:space="0" w:color="auto"/>
            </w:tcBorders>
          </w:tcPr>
          <w:p w14:paraId="2EC65E10"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0156F0D2"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34E92957" w14:textId="0F13B016" w:rsidR="00424A95" w:rsidRDefault="00424A95" w:rsidP="001409D8">
            <w:pPr>
              <w:spacing w:after="0" w:line="240" w:lineRule="auto"/>
              <w:rPr>
                <w:rFonts w:eastAsia="Times New Roman" w:cs="Times New Roman"/>
                <w:color w:val="000000"/>
                <w:lang w:eastAsia="fr-FR"/>
              </w:rPr>
            </w:pPr>
          </w:p>
        </w:tc>
      </w:tr>
      <w:tr w:rsidR="00424A95" w14:paraId="2ED676CB" w14:textId="721C22E6" w:rsidTr="000C2CDA">
        <w:trPr>
          <w:trHeight w:val="557"/>
        </w:trPr>
        <w:tc>
          <w:tcPr>
            <w:tcW w:w="1915" w:type="dxa"/>
            <w:tcBorders>
              <w:top w:val="single" w:sz="12" w:space="0" w:color="auto"/>
              <w:left w:val="single" w:sz="12" w:space="0" w:color="auto"/>
              <w:bottom w:val="single" w:sz="12" w:space="0" w:color="auto"/>
              <w:right w:val="single" w:sz="12" w:space="0" w:color="auto"/>
            </w:tcBorders>
            <w:shd w:val="clear" w:color="auto" w:fill="FFFF00"/>
            <w:vAlign w:val="center"/>
            <w:hideMark/>
          </w:tcPr>
          <w:p w14:paraId="560F3F23"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ACTIONS A COURT TERME</w:t>
            </w:r>
          </w:p>
        </w:tc>
        <w:tc>
          <w:tcPr>
            <w:tcW w:w="850" w:type="dxa"/>
            <w:tcBorders>
              <w:top w:val="single" w:sz="12" w:space="0" w:color="auto"/>
              <w:left w:val="single" w:sz="12" w:space="0" w:color="auto"/>
              <w:bottom w:val="single" w:sz="12" w:space="0" w:color="auto"/>
              <w:right w:val="single" w:sz="12" w:space="0" w:color="auto"/>
            </w:tcBorders>
            <w:vAlign w:val="center"/>
          </w:tcPr>
          <w:p w14:paraId="21F60C1D" w14:textId="77777777" w:rsidR="00424A95" w:rsidRDefault="00424A95" w:rsidP="001409D8">
            <w:pPr>
              <w:spacing w:after="0" w:line="240" w:lineRule="auto"/>
              <w:jc w:val="center"/>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773B8BAC"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6" w:type="dxa"/>
            <w:tcBorders>
              <w:top w:val="single" w:sz="12" w:space="0" w:color="auto"/>
              <w:left w:val="single" w:sz="12" w:space="0" w:color="auto"/>
              <w:bottom w:val="single" w:sz="12" w:space="0" w:color="auto"/>
              <w:right w:val="single" w:sz="12" w:space="0" w:color="auto"/>
            </w:tcBorders>
            <w:noWrap/>
            <w:vAlign w:val="bottom"/>
            <w:hideMark/>
          </w:tcPr>
          <w:p w14:paraId="426A4F34"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036D5257"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582AB592"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79847BA6"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6A8898CC"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155AAFF1"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531C5E42"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0258DC2D"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6" w:type="dxa"/>
            <w:tcBorders>
              <w:top w:val="single" w:sz="12" w:space="0" w:color="auto"/>
              <w:left w:val="single" w:sz="12" w:space="0" w:color="auto"/>
              <w:bottom w:val="single" w:sz="12" w:space="0" w:color="auto"/>
              <w:right w:val="single" w:sz="12" w:space="0" w:color="auto"/>
            </w:tcBorders>
            <w:noWrap/>
            <w:vAlign w:val="bottom"/>
            <w:hideMark/>
          </w:tcPr>
          <w:p w14:paraId="260367CA"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6BB18820"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14C01902"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288C0C10"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1FB78D58"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6" w:type="dxa"/>
            <w:tcBorders>
              <w:top w:val="single" w:sz="12" w:space="0" w:color="auto"/>
              <w:left w:val="single" w:sz="12" w:space="0" w:color="auto"/>
              <w:bottom w:val="single" w:sz="12" w:space="0" w:color="auto"/>
              <w:right w:val="single" w:sz="12" w:space="0" w:color="auto"/>
            </w:tcBorders>
            <w:noWrap/>
            <w:vAlign w:val="bottom"/>
            <w:hideMark/>
          </w:tcPr>
          <w:p w14:paraId="5FB6200A"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68F80CE0"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tcPr>
          <w:p w14:paraId="0F12E723"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6339E38F" w14:textId="77777777" w:rsidR="00424A95" w:rsidRDefault="00424A95"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tcPr>
          <w:p w14:paraId="3EDBC77B" w14:textId="77777777" w:rsidR="00424A95" w:rsidRDefault="00424A95"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10808E0E"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tcPr>
          <w:p w14:paraId="15825E8B"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065D1A0F" w14:textId="77777777" w:rsidR="00424A95" w:rsidRDefault="00424A95" w:rsidP="001409D8">
            <w:pPr>
              <w:spacing w:after="0" w:line="240" w:lineRule="auto"/>
              <w:rPr>
                <w:rFonts w:eastAsia="Times New Roman" w:cs="Times New Roman"/>
                <w:color w:val="000000"/>
                <w:lang w:eastAsia="fr-FR"/>
              </w:rPr>
            </w:pPr>
          </w:p>
        </w:tc>
        <w:tc>
          <w:tcPr>
            <w:tcW w:w="426" w:type="dxa"/>
            <w:tcBorders>
              <w:top w:val="single" w:sz="12" w:space="0" w:color="auto"/>
              <w:left w:val="single" w:sz="12" w:space="0" w:color="auto"/>
              <w:bottom w:val="single" w:sz="12" w:space="0" w:color="auto"/>
              <w:right w:val="single" w:sz="12" w:space="0" w:color="auto"/>
            </w:tcBorders>
          </w:tcPr>
          <w:p w14:paraId="0174B1C0"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555D9C20"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7318CE24" w14:textId="7F615DEF" w:rsidR="00424A95" w:rsidRDefault="00424A95" w:rsidP="001409D8">
            <w:pPr>
              <w:spacing w:after="0" w:line="240" w:lineRule="auto"/>
              <w:rPr>
                <w:rFonts w:eastAsia="Times New Roman" w:cs="Times New Roman"/>
                <w:color w:val="000000"/>
                <w:lang w:eastAsia="fr-FR"/>
              </w:rPr>
            </w:pPr>
          </w:p>
        </w:tc>
      </w:tr>
      <w:tr w:rsidR="00424A95" w14:paraId="6862F369" w14:textId="424B70E9" w:rsidTr="000C2CDA">
        <w:trPr>
          <w:trHeight w:val="600"/>
        </w:trPr>
        <w:tc>
          <w:tcPr>
            <w:tcW w:w="1915" w:type="dxa"/>
            <w:tcBorders>
              <w:top w:val="single" w:sz="12" w:space="0" w:color="auto"/>
              <w:left w:val="single" w:sz="12" w:space="0" w:color="auto"/>
              <w:bottom w:val="single" w:sz="12" w:space="0" w:color="auto"/>
              <w:right w:val="single" w:sz="12" w:space="0" w:color="auto"/>
            </w:tcBorders>
            <w:vAlign w:val="center"/>
            <w:hideMark/>
          </w:tcPr>
          <w:p w14:paraId="74981D10" w14:textId="083E246D" w:rsidR="00424A95" w:rsidRDefault="00773913" w:rsidP="001409D8">
            <w:pPr>
              <w:spacing w:after="0" w:line="240" w:lineRule="auto"/>
              <w:rPr>
                <w:rFonts w:eastAsia="Times New Roman" w:cs="Times New Roman"/>
                <w:color w:val="000000"/>
                <w:lang w:eastAsia="fr-FR"/>
              </w:rPr>
            </w:pPr>
            <w:r>
              <w:rPr>
                <w:rFonts w:eastAsia="Times New Roman" w:cs="Times New Roman"/>
                <w:color w:val="000000"/>
                <w:lang w:eastAsia="fr-FR"/>
              </w:rPr>
              <w:t>Lancement de l’initiative par le</w:t>
            </w:r>
            <w:r w:rsidRPr="00773913">
              <w:rPr>
                <w:rFonts w:eastAsia="Times New Roman" w:cs="Times New Roman"/>
                <w:color w:val="000000"/>
                <w:lang w:eastAsia="fr-FR"/>
              </w:rPr>
              <w:t xml:space="preserve"> Président de la République ou du Chef du G</w:t>
            </w:r>
            <w:r>
              <w:rPr>
                <w:rFonts w:eastAsia="Times New Roman" w:cs="Times New Roman"/>
                <w:color w:val="000000"/>
                <w:lang w:eastAsia="fr-FR"/>
              </w:rPr>
              <w:t xml:space="preserve">ouvernement </w:t>
            </w:r>
          </w:p>
        </w:tc>
        <w:tc>
          <w:tcPr>
            <w:tcW w:w="850" w:type="dxa"/>
            <w:tcBorders>
              <w:top w:val="single" w:sz="12" w:space="0" w:color="auto"/>
              <w:left w:val="single" w:sz="12" w:space="0" w:color="auto"/>
              <w:bottom w:val="single" w:sz="12" w:space="0" w:color="auto"/>
              <w:right w:val="single" w:sz="12" w:space="0" w:color="auto"/>
            </w:tcBorders>
            <w:vAlign w:val="center"/>
            <w:hideMark/>
          </w:tcPr>
          <w:p w14:paraId="0A9FEE6B" w14:textId="24B6860F" w:rsidR="00424A95" w:rsidRDefault="00773913" w:rsidP="001409D8">
            <w:pPr>
              <w:spacing w:after="0" w:line="240" w:lineRule="auto"/>
              <w:jc w:val="center"/>
              <w:rPr>
                <w:rFonts w:eastAsia="Times New Roman" w:cs="Times New Roman"/>
                <w:color w:val="000000"/>
                <w:lang w:eastAsia="fr-FR"/>
              </w:rPr>
            </w:pPr>
            <w:r>
              <w:rPr>
                <w:rFonts w:eastAsia="Times New Roman" w:cs="Times New Roman"/>
                <w:color w:val="000000"/>
                <w:sz w:val="20"/>
                <w:lang w:eastAsia="fr-FR"/>
              </w:rPr>
              <w:t>UAE</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348A3F3C"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6"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hideMark/>
          </w:tcPr>
          <w:p w14:paraId="36A8BBC3"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hideMark/>
          </w:tcPr>
          <w:p w14:paraId="0237EEF3"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6319EBD3"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7478F84F"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5FDAD5CD"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6948F0E9"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2E4F19E0"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2BA06A30"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6" w:type="dxa"/>
            <w:tcBorders>
              <w:top w:val="single" w:sz="12" w:space="0" w:color="auto"/>
              <w:left w:val="single" w:sz="12" w:space="0" w:color="auto"/>
              <w:bottom w:val="single" w:sz="12" w:space="0" w:color="auto"/>
              <w:right w:val="single" w:sz="12" w:space="0" w:color="auto"/>
            </w:tcBorders>
            <w:noWrap/>
            <w:vAlign w:val="bottom"/>
            <w:hideMark/>
          </w:tcPr>
          <w:p w14:paraId="441675AD"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2CAD3734"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0C2B9911"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7F9BC61D"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160C356F"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6" w:type="dxa"/>
            <w:tcBorders>
              <w:top w:val="single" w:sz="12" w:space="0" w:color="auto"/>
              <w:left w:val="single" w:sz="12" w:space="0" w:color="auto"/>
              <w:bottom w:val="single" w:sz="12" w:space="0" w:color="auto"/>
              <w:right w:val="single" w:sz="12" w:space="0" w:color="auto"/>
            </w:tcBorders>
            <w:noWrap/>
            <w:vAlign w:val="bottom"/>
            <w:hideMark/>
          </w:tcPr>
          <w:p w14:paraId="6D6A9034"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2C2B1387"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tcPr>
          <w:p w14:paraId="0B98E69B"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03D38382" w14:textId="77777777" w:rsidR="00424A95" w:rsidRDefault="00424A95"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tcPr>
          <w:p w14:paraId="6468B25E" w14:textId="77777777" w:rsidR="00424A95" w:rsidRDefault="00424A95"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1F8FBD6E"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tcPr>
          <w:p w14:paraId="36820BBD"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4914E6ED" w14:textId="77777777" w:rsidR="00424A95" w:rsidRDefault="00424A95" w:rsidP="001409D8">
            <w:pPr>
              <w:spacing w:after="0" w:line="240" w:lineRule="auto"/>
              <w:rPr>
                <w:rFonts w:eastAsia="Times New Roman" w:cs="Times New Roman"/>
                <w:color w:val="000000"/>
                <w:lang w:eastAsia="fr-FR"/>
              </w:rPr>
            </w:pPr>
          </w:p>
        </w:tc>
        <w:tc>
          <w:tcPr>
            <w:tcW w:w="426" w:type="dxa"/>
            <w:tcBorders>
              <w:top w:val="single" w:sz="12" w:space="0" w:color="auto"/>
              <w:left w:val="single" w:sz="12" w:space="0" w:color="auto"/>
              <w:bottom w:val="single" w:sz="12" w:space="0" w:color="auto"/>
              <w:right w:val="single" w:sz="12" w:space="0" w:color="auto"/>
            </w:tcBorders>
          </w:tcPr>
          <w:p w14:paraId="7B3D52AE"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16B3C844"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2720B6E0" w14:textId="033B5836" w:rsidR="00424A95" w:rsidRDefault="00424A95" w:rsidP="001409D8">
            <w:pPr>
              <w:spacing w:after="0" w:line="240" w:lineRule="auto"/>
              <w:rPr>
                <w:rFonts w:eastAsia="Times New Roman" w:cs="Times New Roman"/>
                <w:color w:val="000000"/>
                <w:lang w:eastAsia="fr-FR"/>
              </w:rPr>
            </w:pPr>
          </w:p>
        </w:tc>
      </w:tr>
      <w:tr w:rsidR="00424A95" w14:paraId="50F00D11" w14:textId="61A7A8C7" w:rsidTr="000C2CDA">
        <w:trPr>
          <w:trHeight w:val="726"/>
        </w:trPr>
        <w:tc>
          <w:tcPr>
            <w:tcW w:w="1915" w:type="dxa"/>
            <w:tcBorders>
              <w:top w:val="single" w:sz="12" w:space="0" w:color="auto"/>
              <w:left w:val="single" w:sz="12" w:space="0" w:color="auto"/>
              <w:bottom w:val="single" w:sz="12" w:space="0" w:color="auto"/>
              <w:right w:val="single" w:sz="12" w:space="0" w:color="auto"/>
            </w:tcBorders>
            <w:vAlign w:val="center"/>
            <w:hideMark/>
          </w:tcPr>
          <w:p w14:paraId="3720E3CE" w14:textId="06642ECB" w:rsidR="00424A95" w:rsidRDefault="00773913" w:rsidP="001409D8">
            <w:pPr>
              <w:spacing w:after="0" w:line="240" w:lineRule="auto"/>
              <w:rPr>
                <w:rFonts w:eastAsia="Times New Roman" w:cs="Times New Roman"/>
                <w:color w:val="000000"/>
                <w:lang w:eastAsia="fr-FR"/>
              </w:rPr>
            </w:pPr>
            <w:r>
              <w:rPr>
                <w:rFonts w:eastAsia="Times New Roman" w:cs="Times New Roman"/>
                <w:color w:val="000000"/>
                <w:lang w:eastAsia="fr-FR"/>
              </w:rPr>
              <w:t>Mise en place du CoPil</w:t>
            </w:r>
          </w:p>
        </w:tc>
        <w:tc>
          <w:tcPr>
            <w:tcW w:w="850" w:type="dxa"/>
            <w:tcBorders>
              <w:top w:val="single" w:sz="12" w:space="0" w:color="auto"/>
              <w:left w:val="single" w:sz="12" w:space="0" w:color="auto"/>
              <w:bottom w:val="single" w:sz="12" w:space="0" w:color="auto"/>
              <w:right w:val="single" w:sz="12" w:space="0" w:color="auto"/>
            </w:tcBorders>
            <w:vAlign w:val="center"/>
            <w:hideMark/>
          </w:tcPr>
          <w:p w14:paraId="03D01574" w14:textId="1CE25F5E" w:rsidR="00424A95" w:rsidRDefault="00773913" w:rsidP="00773913">
            <w:pPr>
              <w:spacing w:after="0" w:line="240" w:lineRule="auto"/>
              <w:jc w:val="center"/>
              <w:rPr>
                <w:rFonts w:eastAsia="Times New Roman" w:cs="Times New Roman"/>
                <w:color w:val="000000"/>
                <w:lang w:eastAsia="fr-FR"/>
              </w:rPr>
            </w:pPr>
            <w:r>
              <w:rPr>
                <w:rFonts w:eastAsia="Times New Roman" w:cs="Times New Roman"/>
                <w:color w:val="000000"/>
                <w:sz w:val="20"/>
                <w:lang w:eastAsia="fr-FR"/>
              </w:rPr>
              <w:t>UAE</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60D3BEC8"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6"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hideMark/>
          </w:tcPr>
          <w:p w14:paraId="364AEEFA"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hideMark/>
          </w:tcPr>
          <w:p w14:paraId="73BEAB02"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20E1AAFD"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0C696A07"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43155846"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24E84515"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7DAEED53"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3AD379EC"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6" w:type="dxa"/>
            <w:tcBorders>
              <w:top w:val="single" w:sz="12" w:space="0" w:color="auto"/>
              <w:left w:val="single" w:sz="12" w:space="0" w:color="auto"/>
              <w:bottom w:val="single" w:sz="12" w:space="0" w:color="auto"/>
              <w:right w:val="single" w:sz="12" w:space="0" w:color="auto"/>
            </w:tcBorders>
            <w:noWrap/>
            <w:vAlign w:val="bottom"/>
            <w:hideMark/>
          </w:tcPr>
          <w:p w14:paraId="5DF91472"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37923EB8"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007CE281"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520A112E"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6741F2E4"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6" w:type="dxa"/>
            <w:tcBorders>
              <w:top w:val="single" w:sz="12" w:space="0" w:color="auto"/>
              <w:left w:val="single" w:sz="12" w:space="0" w:color="auto"/>
              <w:bottom w:val="single" w:sz="12" w:space="0" w:color="auto"/>
              <w:right w:val="single" w:sz="12" w:space="0" w:color="auto"/>
            </w:tcBorders>
            <w:noWrap/>
            <w:vAlign w:val="bottom"/>
            <w:hideMark/>
          </w:tcPr>
          <w:p w14:paraId="681010AF"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4B5CED14"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tcPr>
          <w:p w14:paraId="46FFFA7F"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6539B8FE" w14:textId="77777777" w:rsidR="00424A95" w:rsidRDefault="00424A95"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tcPr>
          <w:p w14:paraId="727AE6D3" w14:textId="77777777" w:rsidR="00424A95" w:rsidRDefault="00424A95"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6FF624D6"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tcPr>
          <w:p w14:paraId="1A047198"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109F40B1" w14:textId="77777777" w:rsidR="00424A95" w:rsidRDefault="00424A95" w:rsidP="001409D8">
            <w:pPr>
              <w:spacing w:after="0" w:line="240" w:lineRule="auto"/>
              <w:rPr>
                <w:rFonts w:eastAsia="Times New Roman" w:cs="Times New Roman"/>
                <w:color w:val="000000"/>
                <w:lang w:eastAsia="fr-FR"/>
              </w:rPr>
            </w:pPr>
          </w:p>
        </w:tc>
        <w:tc>
          <w:tcPr>
            <w:tcW w:w="426" w:type="dxa"/>
            <w:tcBorders>
              <w:top w:val="single" w:sz="12" w:space="0" w:color="auto"/>
              <w:left w:val="single" w:sz="12" w:space="0" w:color="auto"/>
              <w:bottom w:val="single" w:sz="12" w:space="0" w:color="auto"/>
              <w:right w:val="single" w:sz="12" w:space="0" w:color="auto"/>
            </w:tcBorders>
          </w:tcPr>
          <w:p w14:paraId="7B4043B8"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1FE4142E"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41A468B7" w14:textId="0A169879" w:rsidR="00424A95" w:rsidRDefault="00424A95" w:rsidP="001409D8">
            <w:pPr>
              <w:spacing w:after="0" w:line="240" w:lineRule="auto"/>
              <w:rPr>
                <w:rFonts w:eastAsia="Times New Roman" w:cs="Times New Roman"/>
                <w:color w:val="000000"/>
                <w:lang w:eastAsia="fr-FR"/>
              </w:rPr>
            </w:pPr>
          </w:p>
        </w:tc>
      </w:tr>
      <w:tr w:rsidR="00424A95" w14:paraId="72767819" w14:textId="1CF01511" w:rsidTr="00A113C0">
        <w:trPr>
          <w:trHeight w:val="644"/>
        </w:trPr>
        <w:tc>
          <w:tcPr>
            <w:tcW w:w="1915" w:type="dxa"/>
            <w:tcBorders>
              <w:top w:val="single" w:sz="12" w:space="0" w:color="auto"/>
              <w:left w:val="single" w:sz="12" w:space="0" w:color="auto"/>
              <w:bottom w:val="single" w:sz="12" w:space="0" w:color="auto"/>
              <w:right w:val="single" w:sz="12" w:space="0" w:color="auto"/>
            </w:tcBorders>
            <w:vAlign w:val="center"/>
            <w:hideMark/>
          </w:tcPr>
          <w:p w14:paraId="24323199" w14:textId="162F106E" w:rsidR="00424A95" w:rsidRDefault="00773913" w:rsidP="001409D8">
            <w:pPr>
              <w:spacing w:after="0" w:line="240" w:lineRule="auto"/>
              <w:rPr>
                <w:rFonts w:eastAsia="Times New Roman" w:cs="Times New Roman"/>
                <w:color w:val="000000"/>
                <w:lang w:eastAsia="fr-FR"/>
              </w:rPr>
            </w:pPr>
            <w:r>
              <w:rPr>
                <w:rFonts w:eastAsia="Times New Roman" w:cs="Times New Roman"/>
                <w:color w:val="000000"/>
                <w:lang w:eastAsia="fr-FR"/>
              </w:rPr>
              <w:t xml:space="preserve">Plan de suivi &amp; </w:t>
            </w:r>
            <w:r w:rsidR="009A5D7C">
              <w:rPr>
                <w:rFonts w:eastAsia="Times New Roman" w:cs="Times New Roman"/>
                <w:color w:val="000000"/>
                <w:lang w:eastAsia="fr-FR"/>
              </w:rPr>
              <w:t>d'</w:t>
            </w:r>
            <w:r>
              <w:rPr>
                <w:rFonts w:eastAsia="Times New Roman" w:cs="Times New Roman"/>
                <w:color w:val="000000"/>
                <w:lang w:eastAsia="fr-FR"/>
              </w:rPr>
              <w:t>évaluation</w:t>
            </w:r>
          </w:p>
        </w:tc>
        <w:tc>
          <w:tcPr>
            <w:tcW w:w="850" w:type="dxa"/>
            <w:tcBorders>
              <w:top w:val="single" w:sz="12" w:space="0" w:color="auto"/>
              <w:left w:val="single" w:sz="12" w:space="0" w:color="auto"/>
              <w:bottom w:val="single" w:sz="12" w:space="0" w:color="auto"/>
              <w:right w:val="single" w:sz="12" w:space="0" w:color="auto"/>
            </w:tcBorders>
            <w:vAlign w:val="center"/>
            <w:hideMark/>
          </w:tcPr>
          <w:p w14:paraId="34A58E0E" w14:textId="0B94C1A5" w:rsidR="00424A95" w:rsidRDefault="00773913" w:rsidP="001409D8">
            <w:pPr>
              <w:spacing w:after="0" w:line="240" w:lineRule="auto"/>
              <w:jc w:val="center"/>
              <w:rPr>
                <w:rFonts w:eastAsia="Times New Roman" w:cs="Times New Roman"/>
                <w:color w:val="000000"/>
                <w:lang w:eastAsia="fr-FR"/>
              </w:rPr>
            </w:pPr>
            <w:r w:rsidRPr="00773913">
              <w:rPr>
                <w:szCs w:val="24"/>
              </w:rPr>
              <w:t>CoPil</w:t>
            </w:r>
          </w:p>
        </w:tc>
        <w:tc>
          <w:tcPr>
            <w:tcW w:w="567" w:type="dxa"/>
            <w:tcBorders>
              <w:top w:val="single" w:sz="12" w:space="0" w:color="auto"/>
              <w:left w:val="single" w:sz="12" w:space="0" w:color="auto"/>
              <w:bottom w:val="single" w:sz="12" w:space="0" w:color="auto"/>
              <w:right w:val="single" w:sz="12" w:space="0" w:color="auto"/>
            </w:tcBorders>
            <w:noWrap/>
            <w:vAlign w:val="bottom"/>
          </w:tcPr>
          <w:p w14:paraId="4E476FE6" w14:textId="77777777" w:rsidR="00424A95" w:rsidRDefault="00424A95" w:rsidP="001409D8">
            <w:pPr>
              <w:spacing w:after="0" w:line="240" w:lineRule="auto"/>
              <w:rPr>
                <w:rFonts w:eastAsia="Times New Roman" w:cs="Times New Roman"/>
                <w:color w:val="000000"/>
                <w:lang w:eastAsia="fr-FR"/>
              </w:rPr>
            </w:pPr>
          </w:p>
        </w:tc>
        <w:tc>
          <w:tcPr>
            <w:tcW w:w="426" w:type="dxa"/>
            <w:tcBorders>
              <w:top w:val="single" w:sz="12" w:space="0" w:color="auto"/>
              <w:left w:val="single" w:sz="12" w:space="0" w:color="auto"/>
              <w:bottom w:val="single" w:sz="12" w:space="0" w:color="auto"/>
              <w:right w:val="single" w:sz="12" w:space="0" w:color="auto"/>
            </w:tcBorders>
            <w:noWrap/>
            <w:vAlign w:val="bottom"/>
          </w:tcPr>
          <w:p w14:paraId="259CA8F7"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noWrap/>
            <w:vAlign w:val="bottom"/>
          </w:tcPr>
          <w:p w14:paraId="060AE07A"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tcPr>
          <w:p w14:paraId="771975F0" w14:textId="77777777" w:rsidR="00424A95" w:rsidRDefault="00424A95"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tcPr>
          <w:p w14:paraId="26CE79AA"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tcPr>
          <w:p w14:paraId="5A1E43CD" w14:textId="77777777" w:rsidR="00424A95" w:rsidRDefault="00424A95"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tcPr>
          <w:p w14:paraId="561BEF88" w14:textId="77777777" w:rsidR="00424A95" w:rsidRDefault="00424A95"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tcPr>
          <w:p w14:paraId="08C10901"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tcPr>
          <w:p w14:paraId="7083219C" w14:textId="77777777" w:rsidR="00424A95" w:rsidRDefault="00424A95" w:rsidP="001409D8">
            <w:pPr>
              <w:spacing w:after="0" w:line="240" w:lineRule="auto"/>
              <w:rPr>
                <w:rFonts w:eastAsia="Times New Roman" w:cs="Times New Roman"/>
                <w:color w:val="000000"/>
                <w:lang w:eastAsia="fr-FR"/>
              </w:rPr>
            </w:pPr>
          </w:p>
        </w:tc>
        <w:tc>
          <w:tcPr>
            <w:tcW w:w="426" w:type="dxa"/>
            <w:tcBorders>
              <w:top w:val="single" w:sz="12" w:space="0" w:color="auto"/>
              <w:left w:val="single" w:sz="12" w:space="0" w:color="auto"/>
              <w:bottom w:val="single" w:sz="12" w:space="0" w:color="auto"/>
              <w:right w:val="single" w:sz="12" w:space="0" w:color="auto"/>
            </w:tcBorders>
            <w:noWrap/>
            <w:vAlign w:val="bottom"/>
          </w:tcPr>
          <w:p w14:paraId="71AD4AFD" w14:textId="77777777" w:rsidR="00424A95" w:rsidRDefault="00424A95"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noWrap/>
            <w:vAlign w:val="bottom"/>
          </w:tcPr>
          <w:p w14:paraId="2022CCB7"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noWrap/>
            <w:vAlign w:val="bottom"/>
          </w:tcPr>
          <w:p w14:paraId="7214453F" w14:textId="77777777" w:rsidR="00424A95" w:rsidRDefault="00424A95"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noWrap/>
            <w:vAlign w:val="bottom"/>
          </w:tcPr>
          <w:p w14:paraId="0EB167A5" w14:textId="77777777" w:rsidR="00424A95" w:rsidRDefault="00424A95"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noWrap/>
            <w:vAlign w:val="bottom"/>
          </w:tcPr>
          <w:p w14:paraId="46E1CBD4" w14:textId="77777777" w:rsidR="00424A95" w:rsidRDefault="00424A95" w:rsidP="001409D8">
            <w:pPr>
              <w:spacing w:after="0" w:line="240" w:lineRule="auto"/>
              <w:rPr>
                <w:rFonts w:eastAsia="Times New Roman" w:cs="Times New Roman"/>
                <w:color w:val="000000"/>
                <w:lang w:eastAsia="fr-FR"/>
              </w:rPr>
            </w:pPr>
          </w:p>
        </w:tc>
        <w:tc>
          <w:tcPr>
            <w:tcW w:w="426" w:type="dxa"/>
            <w:tcBorders>
              <w:top w:val="single" w:sz="12" w:space="0" w:color="auto"/>
              <w:left w:val="single" w:sz="12" w:space="0" w:color="auto"/>
              <w:bottom w:val="single" w:sz="12" w:space="0" w:color="auto"/>
              <w:right w:val="single" w:sz="12" w:space="0" w:color="auto"/>
            </w:tcBorders>
            <w:noWrap/>
            <w:vAlign w:val="bottom"/>
          </w:tcPr>
          <w:p w14:paraId="5F556845"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noWrap/>
            <w:vAlign w:val="bottom"/>
          </w:tcPr>
          <w:p w14:paraId="6A8DFA40" w14:textId="77777777" w:rsidR="00424A95" w:rsidRDefault="00424A95"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tcPr>
          <w:p w14:paraId="63C66BA0"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4E1BB510" w14:textId="77777777" w:rsidR="00424A95" w:rsidRDefault="00424A95"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tcPr>
          <w:p w14:paraId="17FDFBC9" w14:textId="77777777" w:rsidR="00424A95" w:rsidRDefault="00424A95"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noWrap/>
            <w:vAlign w:val="bottom"/>
          </w:tcPr>
          <w:p w14:paraId="05B100C0"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4323FA64"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2DB0305C" w14:textId="77777777" w:rsidR="00424A95" w:rsidRDefault="00424A95" w:rsidP="001409D8">
            <w:pPr>
              <w:spacing w:after="0" w:line="240" w:lineRule="auto"/>
              <w:rPr>
                <w:rFonts w:eastAsia="Times New Roman" w:cs="Times New Roman"/>
                <w:color w:val="000000"/>
                <w:lang w:eastAsia="fr-FR"/>
              </w:rPr>
            </w:pPr>
          </w:p>
        </w:tc>
        <w:tc>
          <w:tcPr>
            <w:tcW w:w="426" w:type="dxa"/>
            <w:tcBorders>
              <w:top w:val="single" w:sz="12" w:space="0" w:color="auto"/>
              <w:left w:val="single" w:sz="12" w:space="0" w:color="auto"/>
              <w:bottom w:val="single" w:sz="12" w:space="0" w:color="auto"/>
              <w:right w:val="single" w:sz="12" w:space="0" w:color="auto"/>
            </w:tcBorders>
          </w:tcPr>
          <w:p w14:paraId="2FE8FE5F"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33604630"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361FCF7C" w14:textId="0BE6E15C" w:rsidR="00424A95" w:rsidRDefault="00424A95" w:rsidP="001409D8">
            <w:pPr>
              <w:spacing w:after="0" w:line="240" w:lineRule="auto"/>
              <w:rPr>
                <w:rFonts w:eastAsia="Times New Roman" w:cs="Times New Roman"/>
                <w:color w:val="000000"/>
                <w:lang w:eastAsia="fr-FR"/>
              </w:rPr>
            </w:pPr>
          </w:p>
        </w:tc>
      </w:tr>
      <w:tr w:rsidR="00424A95" w14:paraId="670174F9" w14:textId="69F71342" w:rsidTr="000C2CDA">
        <w:trPr>
          <w:trHeight w:val="375"/>
        </w:trPr>
        <w:tc>
          <w:tcPr>
            <w:tcW w:w="1915" w:type="dxa"/>
            <w:tcBorders>
              <w:top w:val="single" w:sz="12" w:space="0" w:color="auto"/>
              <w:left w:val="single" w:sz="12" w:space="0" w:color="auto"/>
              <w:bottom w:val="single" w:sz="12" w:space="0" w:color="auto"/>
              <w:right w:val="single" w:sz="12" w:space="0" w:color="auto"/>
            </w:tcBorders>
            <w:shd w:val="clear" w:color="auto" w:fill="92D050"/>
            <w:vAlign w:val="center"/>
            <w:hideMark/>
          </w:tcPr>
          <w:p w14:paraId="21EFD129" w14:textId="77777777" w:rsidR="00424A95" w:rsidRDefault="00424A95" w:rsidP="001409D8">
            <w:pPr>
              <w:spacing w:after="0" w:line="240" w:lineRule="auto"/>
              <w:rPr>
                <w:rFonts w:eastAsia="Times New Roman" w:cs="Times New Roman"/>
                <w:b/>
                <w:color w:val="000000"/>
                <w:lang w:eastAsia="fr-FR"/>
              </w:rPr>
            </w:pPr>
            <w:r>
              <w:rPr>
                <w:rFonts w:eastAsia="Times New Roman" w:cs="Times New Roman"/>
                <w:b/>
                <w:color w:val="000000"/>
                <w:lang w:eastAsia="fr-FR"/>
              </w:rPr>
              <w:t xml:space="preserve">Cadre réglementaire et juridique </w:t>
            </w:r>
          </w:p>
        </w:tc>
        <w:tc>
          <w:tcPr>
            <w:tcW w:w="850" w:type="dxa"/>
            <w:tcBorders>
              <w:top w:val="single" w:sz="12" w:space="0" w:color="auto"/>
              <w:left w:val="single" w:sz="12" w:space="0" w:color="auto"/>
              <w:bottom w:val="single" w:sz="12" w:space="0" w:color="auto"/>
              <w:right w:val="single" w:sz="12" w:space="0" w:color="auto"/>
            </w:tcBorders>
            <w:vAlign w:val="center"/>
          </w:tcPr>
          <w:p w14:paraId="0837C4C6" w14:textId="77777777" w:rsidR="00424A95" w:rsidRDefault="00424A95" w:rsidP="001409D8">
            <w:pPr>
              <w:spacing w:after="0" w:line="240" w:lineRule="auto"/>
              <w:jc w:val="center"/>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5E84A037"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6" w:type="dxa"/>
            <w:tcBorders>
              <w:top w:val="single" w:sz="12" w:space="0" w:color="auto"/>
              <w:left w:val="single" w:sz="12" w:space="0" w:color="auto"/>
              <w:bottom w:val="single" w:sz="12" w:space="0" w:color="auto"/>
              <w:right w:val="single" w:sz="12" w:space="0" w:color="auto"/>
            </w:tcBorders>
            <w:noWrap/>
            <w:vAlign w:val="bottom"/>
            <w:hideMark/>
          </w:tcPr>
          <w:p w14:paraId="21035857"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1860CCD6"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704F5AB3"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2F577D4A"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4A6E47E3"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03C8BEAA"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47472226"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0EF5F3F5"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6" w:type="dxa"/>
            <w:tcBorders>
              <w:top w:val="single" w:sz="12" w:space="0" w:color="auto"/>
              <w:left w:val="single" w:sz="12" w:space="0" w:color="auto"/>
              <w:bottom w:val="single" w:sz="12" w:space="0" w:color="auto"/>
              <w:right w:val="single" w:sz="12" w:space="0" w:color="auto"/>
            </w:tcBorders>
            <w:noWrap/>
            <w:vAlign w:val="bottom"/>
            <w:hideMark/>
          </w:tcPr>
          <w:p w14:paraId="0C9CC3EA"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7514AD8A"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3552768D"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379ADCF5"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4B1B85C2"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6" w:type="dxa"/>
            <w:tcBorders>
              <w:top w:val="single" w:sz="12" w:space="0" w:color="auto"/>
              <w:left w:val="single" w:sz="12" w:space="0" w:color="auto"/>
              <w:bottom w:val="single" w:sz="12" w:space="0" w:color="auto"/>
              <w:right w:val="single" w:sz="12" w:space="0" w:color="auto"/>
            </w:tcBorders>
            <w:noWrap/>
            <w:vAlign w:val="bottom"/>
            <w:hideMark/>
          </w:tcPr>
          <w:p w14:paraId="79E74CBF"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39784375"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tcPr>
          <w:p w14:paraId="55C0B3F2"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5CC43FF3" w14:textId="77777777" w:rsidR="00424A95" w:rsidRDefault="00424A95"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tcPr>
          <w:p w14:paraId="6FD642D6" w14:textId="77777777" w:rsidR="00424A95" w:rsidRDefault="00424A95"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09CF0BB9"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tcPr>
          <w:p w14:paraId="36164FF7"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14DDAD96" w14:textId="77777777" w:rsidR="00424A95" w:rsidRDefault="00424A95" w:rsidP="001409D8">
            <w:pPr>
              <w:spacing w:after="0" w:line="240" w:lineRule="auto"/>
              <w:rPr>
                <w:rFonts w:eastAsia="Times New Roman" w:cs="Times New Roman"/>
                <w:color w:val="000000"/>
                <w:lang w:eastAsia="fr-FR"/>
              </w:rPr>
            </w:pPr>
          </w:p>
        </w:tc>
        <w:tc>
          <w:tcPr>
            <w:tcW w:w="426" w:type="dxa"/>
            <w:tcBorders>
              <w:top w:val="single" w:sz="12" w:space="0" w:color="auto"/>
              <w:left w:val="single" w:sz="12" w:space="0" w:color="auto"/>
              <w:bottom w:val="single" w:sz="12" w:space="0" w:color="auto"/>
              <w:right w:val="single" w:sz="12" w:space="0" w:color="auto"/>
            </w:tcBorders>
          </w:tcPr>
          <w:p w14:paraId="39BE0772"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150CA90A"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239437B0" w14:textId="39CD5397" w:rsidR="00424A95" w:rsidRDefault="00424A95" w:rsidP="001409D8">
            <w:pPr>
              <w:spacing w:after="0" w:line="240" w:lineRule="auto"/>
              <w:rPr>
                <w:rFonts w:eastAsia="Times New Roman" w:cs="Times New Roman"/>
                <w:color w:val="000000"/>
                <w:lang w:eastAsia="fr-FR"/>
              </w:rPr>
            </w:pPr>
          </w:p>
        </w:tc>
      </w:tr>
      <w:tr w:rsidR="00424A95" w14:paraId="234490C7" w14:textId="1F1F4DF5" w:rsidTr="000C2CDA">
        <w:trPr>
          <w:trHeight w:val="315"/>
        </w:trPr>
        <w:tc>
          <w:tcPr>
            <w:tcW w:w="1915" w:type="dxa"/>
            <w:tcBorders>
              <w:top w:val="single" w:sz="12" w:space="0" w:color="auto"/>
              <w:left w:val="single" w:sz="12" w:space="0" w:color="auto"/>
              <w:bottom w:val="single" w:sz="12" w:space="0" w:color="auto"/>
              <w:right w:val="single" w:sz="12" w:space="0" w:color="auto"/>
            </w:tcBorders>
            <w:shd w:val="clear" w:color="auto" w:fill="FFFF00"/>
            <w:vAlign w:val="center"/>
            <w:hideMark/>
          </w:tcPr>
          <w:p w14:paraId="3DF15A36"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ACTIONS A COURT TERME</w:t>
            </w:r>
          </w:p>
        </w:tc>
        <w:tc>
          <w:tcPr>
            <w:tcW w:w="850" w:type="dxa"/>
            <w:tcBorders>
              <w:top w:val="single" w:sz="12" w:space="0" w:color="auto"/>
              <w:left w:val="single" w:sz="12" w:space="0" w:color="auto"/>
              <w:bottom w:val="single" w:sz="12" w:space="0" w:color="auto"/>
              <w:right w:val="single" w:sz="12" w:space="0" w:color="auto"/>
            </w:tcBorders>
            <w:vAlign w:val="center"/>
          </w:tcPr>
          <w:p w14:paraId="6F1E96B7" w14:textId="77777777" w:rsidR="00424A95" w:rsidRDefault="00424A95" w:rsidP="001409D8">
            <w:pPr>
              <w:spacing w:after="0" w:line="240" w:lineRule="auto"/>
              <w:jc w:val="center"/>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0388E72A"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6" w:type="dxa"/>
            <w:tcBorders>
              <w:top w:val="single" w:sz="12" w:space="0" w:color="auto"/>
              <w:left w:val="single" w:sz="12" w:space="0" w:color="auto"/>
              <w:bottom w:val="single" w:sz="12" w:space="0" w:color="auto"/>
              <w:right w:val="single" w:sz="12" w:space="0" w:color="auto"/>
            </w:tcBorders>
            <w:noWrap/>
            <w:vAlign w:val="bottom"/>
            <w:hideMark/>
          </w:tcPr>
          <w:p w14:paraId="3618F353"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763B9269"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7760C64C"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56A45449"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794245F7"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7E82FF93"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0293AB82"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76274C80"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6" w:type="dxa"/>
            <w:tcBorders>
              <w:top w:val="single" w:sz="12" w:space="0" w:color="auto"/>
              <w:left w:val="single" w:sz="12" w:space="0" w:color="auto"/>
              <w:bottom w:val="single" w:sz="12" w:space="0" w:color="auto"/>
              <w:right w:val="single" w:sz="12" w:space="0" w:color="auto"/>
            </w:tcBorders>
            <w:noWrap/>
            <w:vAlign w:val="bottom"/>
            <w:hideMark/>
          </w:tcPr>
          <w:p w14:paraId="5CAEC622"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37F3EC08"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23B2B50B"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19D81B13"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12936499"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6" w:type="dxa"/>
            <w:tcBorders>
              <w:top w:val="single" w:sz="12" w:space="0" w:color="auto"/>
              <w:left w:val="single" w:sz="12" w:space="0" w:color="auto"/>
              <w:bottom w:val="single" w:sz="12" w:space="0" w:color="auto"/>
              <w:right w:val="single" w:sz="12" w:space="0" w:color="auto"/>
            </w:tcBorders>
            <w:noWrap/>
            <w:vAlign w:val="bottom"/>
            <w:hideMark/>
          </w:tcPr>
          <w:p w14:paraId="3B86FA01"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4431C996"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tcPr>
          <w:p w14:paraId="450F556F"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784D6A46" w14:textId="77777777" w:rsidR="00424A95" w:rsidRDefault="00424A95"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tcPr>
          <w:p w14:paraId="4CF2EF4C" w14:textId="77777777" w:rsidR="00424A95" w:rsidRDefault="00424A95"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1ED317CB"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tcPr>
          <w:p w14:paraId="437D875E"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510AC01F" w14:textId="77777777" w:rsidR="00424A95" w:rsidRDefault="00424A95" w:rsidP="001409D8">
            <w:pPr>
              <w:spacing w:after="0" w:line="240" w:lineRule="auto"/>
              <w:rPr>
                <w:rFonts w:eastAsia="Times New Roman" w:cs="Times New Roman"/>
                <w:color w:val="000000"/>
                <w:lang w:eastAsia="fr-FR"/>
              </w:rPr>
            </w:pPr>
          </w:p>
        </w:tc>
        <w:tc>
          <w:tcPr>
            <w:tcW w:w="426" w:type="dxa"/>
            <w:tcBorders>
              <w:top w:val="single" w:sz="12" w:space="0" w:color="auto"/>
              <w:left w:val="single" w:sz="12" w:space="0" w:color="auto"/>
              <w:bottom w:val="single" w:sz="12" w:space="0" w:color="auto"/>
              <w:right w:val="single" w:sz="12" w:space="0" w:color="auto"/>
            </w:tcBorders>
          </w:tcPr>
          <w:p w14:paraId="40396803"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04E274EC"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561188B6" w14:textId="21BDAEAA" w:rsidR="00424A95" w:rsidRDefault="00424A95" w:rsidP="001409D8">
            <w:pPr>
              <w:spacing w:after="0" w:line="240" w:lineRule="auto"/>
              <w:rPr>
                <w:rFonts w:eastAsia="Times New Roman" w:cs="Times New Roman"/>
                <w:color w:val="000000"/>
                <w:lang w:eastAsia="fr-FR"/>
              </w:rPr>
            </w:pPr>
          </w:p>
        </w:tc>
      </w:tr>
      <w:tr w:rsidR="000C2CDA" w14:paraId="7DA316BB" w14:textId="52859CF9" w:rsidTr="000C2CDA">
        <w:trPr>
          <w:trHeight w:val="827"/>
        </w:trPr>
        <w:tc>
          <w:tcPr>
            <w:tcW w:w="1915" w:type="dxa"/>
            <w:tcBorders>
              <w:top w:val="single" w:sz="12" w:space="0" w:color="auto"/>
              <w:left w:val="single" w:sz="12" w:space="0" w:color="auto"/>
              <w:bottom w:val="single" w:sz="12" w:space="0" w:color="auto"/>
              <w:right w:val="single" w:sz="12" w:space="0" w:color="auto"/>
            </w:tcBorders>
            <w:vAlign w:val="center"/>
            <w:hideMark/>
          </w:tcPr>
          <w:p w14:paraId="1872E774" w14:textId="77777777" w:rsidR="00424A95" w:rsidRDefault="00424A95" w:rsidP="001409D8">
            <w:pPr>
              <w:spacing w:after="0" w:line="240" w:lineRule="auto"/>
              <w:rPr>
                <w:rFonts w:eastAsia="Times New Roman" w:cs="Times New Roman"/>
                <w:color w:val="000000"/>
                <w:lang w:eastAsia="fr-FR"/>
              </w:rPr>
            </w:pPr>
            <w:r>
              <w:rPr>
                <w:szCs w:val="24"/>
              </w:rPr>
              <w:t>Développement et adoption d’un décret sur l’ouverture des données publiques</w:t>
            </w:r>
          </w:p>
        </w:tc>
        <w:tc>
          <w:tcPr>
            <w:tcW w:w="850" w:type="dxa"/>
            <w:tcBorders>
              <w:top w:val="single" w:sz="12" w:space="0" w:color="auto"/>
              <w:left w:val="single" w:sz="12" w:space="0" w:color="auto"/>
              <w:bottom w:val="single" w:sz="12" w:space="0" w:color="auto"/>
              <w:right w:val="single" w:sz="12" w:space="0" w:color="auto"/>
            </w:tcBorders>
            <w:vAlign w:val="center"/>
            <w:hideMark/>
          </w:tcPr>
          <w:p w14:paraId="0B2619B9" w14:textId="3064698A" w:rsidR="00424A95" w:rsidRDefault="00773913" w:rsidP="001409D8">
            <w:pPr>
              <w:spacing w:after="0" w:line="240" w:lineRule="auto"/>
              <w:jc w:val="center"/>
              <w:rPr>
                <w:rFonts w:eastAsia="Times New Roman" w:cs="Times New Roman"/>
                <w:color w:val="000000"/>
                <w:lang w:eastAsia="fr-FR"/>
              </w:rPr>
            </w:pPr>
            <w:r>
              <w:rPr>
                <w:rFonts w:eastAsia="Times New Roman" w:cs="Times New Roman"/>
                <w:color w:val="000000"/>
                <w:lang w:eastAsia="fr-FR"/>
              </w:rPr>
              <w:t>CoPil (</w:t>
            </w:r>
            <w:r w:rsidR="00A113C0">
              <w:rPr>
                <w:rFonts w:eastAsia="Times New Roman" w:cs="Times New Roman"/>
                <w:color w:val="000000"/>
                <w:lang w:eastAsia="fr-FR"/>
              </w:rPr>
              <w:t xml:space="preserve"> </w:t>
            </w:r>
            <w:r w:rsidR="00821F10">
              <w:rPr>
                <w:rFonts w:eastAsia="Times New Roman" w:cs="Times New Roman"/>
                <w:color w:val="000000"/>
                <w:lang w:eastAsia="fr-FR"/>
              </w:rPr>
              <w:t>UAE</w:t>
            </w:r>
            <w:r>
              <w:rPr>
                <w:rFonts w:eastAsia="Times New Roman" w:cs="Times New Roman"/>
                <w:color w:val="000000"/>
                <w:lang w:eastAsia="fr-FR"/>
              </w:rPr>
              <w:t>)</w:t>
            </w:r>
          </w:p>
        </w:tc>
        <w:tc>
          <w:tcPr>
            <w:tcW w:w="567" w:type="dxa"/>
            <w:tcBorders>
              <w:top w:val="single" w:sz="12" w:space="0" w:color="auto"/>
              <w:left w:val="single" w:sz="12" w:space="0" w:color="auto"/>
              <w:bottom w:val="single" w:sz="12" w:space="0" w:color="auto"/>
              <w:right w:val="single" w:sz="12" w:space="0" w:color="auto"/>
            </w:tcBorders>
            <w:noWrap/>
            <w:vAlign w:val="center"/>
            <w:hideMark/>
          </w:tcPr>
          <w:p w14:paraId="4FB573BF" w14:textId="053CE8C9" w:rsidR="00424A95" w:rsidRDefault="00424A95" w:rsidP="001409D8">
            <w:pPr>
              <w:spacing w:after="0" w:line="240" w:lineRule="auto"/>
              <w:jc w:val="center"/>
              <w:rPr>
                <w:rFonts w:eastAsia="Times New Roman" w:cs="Times New Roman"/>
                <w:color w:val="000000"/>
                <w:lang w:eastAsia="fr-FR"/>
              </w:rPr>
            </w:pPr>
            <w:r>
              <w:rPr>
                <w:rFonts w:eastAsia="Times New Roman" w:cs="Times New Roman"/>
                <w:color w:val="000000"/>
                <w:lang w:eastAsia="fr-FR"/>
              </w:rPr>
              <w:t>50-75k</w:t>
            </w:r>
          </w:p>
        </w:tc>
        <w:tc>
          <w:tcPr>
            <w:tcW w:w="426" w:type="dxa"/>
            <w:tcBorders>
              <w:top w:val="single" w:sz="12" w:space="0" w:color="auto"/>
              <w:left w:val="single" w:sz="12" w:space="0" w:color="auto"/>
              <w:bottom w:val="single" w:sz="12" w:space="0" w:color="auto"/>
              <w:right w:val="single" w:sz="12" w:space="0" w:color="auto"/>
            </w:tcBorders>
            <w:shd w:val="clear" w:color="auto" w:fill="FFFFFF" w:themeFill="background1"/>
            <w:noWrap/>
            <w:vAlign w:val="bottom"/>
            <w:hideMark/>
          </w:tcPr>
          <w:p w14:paraId="7F26404C"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shd w:val="clear" w:color="auto" w:fill="FFFFFF" w:themeFill="background1"/>
            <w:noWrap/>
            <w:vAlign w:val="bottom"/>
            <w:hideMark/>
          </w:tcPr>
          <w:p w14:paraId="797DA29C"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hideMark/>
          </w:tcPr>
          <w:p w14:paraId="5F36FCE1"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hideMark/>
          </w:tcPr>
          <w:p w14:paraId="5B90352E"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hideMark/>
          </w:tcPr>
          <w:p w14:paraId="4654FFB3"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hideMark/>
          </w:tcPr>
          <w:p w14:paraId="45E255A3" w14:textId="7BB30D56" w:rsidR="00363876"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p w14:paraId="1F13946E" w14:textId="4D3200EC" w:rsidR="00363876" w:rsidRDefault="00363876" w:rsidP="00363876">
            <w:pPr>
              <w:rPr>
                <w:rFonts w:eastAsia="Times New Roman" w:cs="Times New Roman"/>
                <w:lang w:eastAsia="fr-FR"/>
              </w:rPr>
            </w:pPr>
          </w:p>
          <w:p w14:paraId="125A4A15" w14:textId="2CD8D422" w:rsidR="00363876" w:rsidRDefault="00363876" w:rsidP="00363876">
            <w:pPr>
              <w:rPr>
                <w:rFonts w:eastAsia="Times New Roman" w:cs="Times New Roman"/>
                <w:lang w:eastAsia="fr-FR"/>
              </w:rPr>
            </w:pPr>
          </w:p>
          <w:p w14:paraId="154EE14A" w14:textId="77777777" w:rsidR="00424A95" w:rsidRPr="00363876" w:rsidRDefault="00424A95" w:rsidP="00363876">
            <w:pPr>
              <w:rPr>
                <w:rFonts w:eastAsia="Times New Roman" w:cs="Times New Roman"/>
                <w:lang w:eastAsia="fr-FR"/>
              </w:rPr>
            </w:pPr>
          </w:p>
        </w:tc>
        <w:tc>
          <w:tcPr>
            <w:tcW w:w="425"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hideMark/>
          </w:tcPr>
          <w:p w14:paraId="16FC1F5D"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hideMark/>
          </w:tcPr>
          <w:p w14:paraId="614C01C2"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6"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hideMark/>
          </w:tcPr>
          <w:p w14:paraId="3BEC5A8D"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hideMark/>
          </w:tcPr>
          <w:p w14:paraId="755A9C5A"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hideMark/>
          </w:tcPr>
          <w:p w14:paraId="302D0D53"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4B6500E5"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7CE01F90"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6" w:type="dxa"/>
            <w:tcBorders>
              <w:top w:val="single" w:sz="12" w:space="0" w:color="auto"/>
              <w:left w:val="single" w:sz="12" w:space="0" w:color="auto"/>
              <w:bottom w:val="single" w:sz="12" w:space="0" w:color="auto"/>
              <w:right w:val="single" w:sz="12" w:space="0" w:color="auto"/>
            </w:tcBorders>
            <w:noWrap/>
            <w:vAlign w:val="bottom"/>
            <w:hideMark/>
          </w:tcPr>
          <w:p w14:paraId="3D27D75E"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3C7DF4F6"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tcPr>
          <w:p w14:paraId="472B439B"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61CD5AA9" w14:textId="77777777" w:rsidR="00424A95" w:rsidRDefault="00424A95"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tcPr>
          <w:p w14:paraId="1E1BFEEE" w14:textId="77777777" w:rsidR="00424A95" w:rsidRDefault="00424A95"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330FBBC4"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tcPr>
          <w:p w14:paraId="55DAD727"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5CC0FFBC" w14:textId="77777777" w:rsidR="00424A95" w:rsidRDefault="00424A95" w:rsidP="001409D8">
            <w:pPr>
              <w:spacing w:after="0" w:line="240" w:lineRule="auto"/>
              <w:rPr>
                <w:rFonts w:eastAsia="Times New Roman" w:cs="Times New Roman"/>
                <w:color w:val="000000"/>
                <w:lang w:eastAsia="fr-FR"/>
              </w:rPr>
            </w:pPr>
          </w:p>
        </w:tc>
        <w:tc>
          <w:tcPr>
            <w:tcW w:w="426" w:type="dxa"/>
            <w:tcBorders>
              <w:top w:val="single" w:sz="12" w:space="0" w:color="auto"/>
              <w:left w:val="single" w:sz="12" w:space="0" w:color="auto"/>
              <w:bottom w:val="single" w:sz="12" w:space="0" w:color="auto"/>
              <w:right w:val="single" w:sz="12" w:space="0" w:color="auto"/>
            </w:tcBorders>
          </w:tcPr>
          <w:p w14:paraId="4CB51C53"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2D85612E"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33BEFB3E" w14:textId="7EAC27F2" w:rsidR="00424A95" w:rsidRDefault="00424A95" w:rsidP="001409D8">
            <w:pPr>
              <w:spacing w:after="0" w:line="240" w:lineRule="auto"/>
              <w:rPr>
                <w:rFonts w:eastAsia="Times New Roman" w:cs="Times New Roman"/>
                <w:color w:val="000000"/>
                <w:lang w:eastAsia="fr-FR"/>
              </w:rPr>
            </w:pPr>
          </w:p>
        </w:tc>
      </w:tr>
      <w:tr w:rsidR="00424A95" w14:paraId="68BD25DE" w14:textId="420E2E5E" w:rsidTr="000C2CDA">
        <w:trPr>
          <w:trHeight w:val="750"/>
        </w:trPr>
        <w:tc>
          <w:tcPr>
            <w:tcW w:w="1915" w:type="dxa"/>
            <w:tcBorders>
              <w:top w:val="single" w:sz="12" w:space="0" w:color="auto"/>
              <w:left w:val="single" w:sz="12" w:space="0" w:color="auto"/>
              <w:bottom w:val="single" w:sz="12" w:space="0" w:color="auto"/>
              <w:right w:val="single" w:sz="12" w:space="0" w:color="auto"/>
            </w:tcBorders>
            <w:shd w:val="clear" w:color="auto" w:fill="92D050"/>
            <w:vAlign w:val="center"/>
            <w:hideMark/>
          </w:tcPr>
          <w:p w14:paraId="74ABFD8A" w14:textId="77777777" w:rsidR="00424A95" w:rsidRDefault="00424A95" w:rsidP="001409D8">
            <w:pPr>
              <w:spacing w:after="0" w:line="240" w:lineRule="auto"/>
              <w:rPr>
                <w:rFonts w:eastAsia="Times New Roman" w:cs="Times New Roman"/>
                <w:b/>
                <w:color w:val="000000"/>
                <w:lang w:eastAsia="fr-FR"/>
              </w:rPr>
            </w:pPr>
            <w:r>
              <w:rPr>
                <w:rFonts w:cs="Calibri"/>
                <w:b/>
                <w:color w:val="000000"/>
              </w:rPr>
              <w:t>Structures institutionnelles, responsabilités et compétences au sein du gouvernement</w:t>
            </w:r>
          </w:p>
        </w:tc>
        <w:tc>
          <w:tcPr>
            <w:tcW w:w="850" w:type="dxa"/>
            <w:tcBorders>
              <w:top w:val="single" w:sz="12" w:space="0" w:color="auto"/>
              <w:left w:val="single" w:sz="12" w:space="0" w:color="auto"/>
              <w:bottom w:val="single" w:sz="12" w:space="0" w:color="auto"/>
              <w:right w:val="single" w:sz="12" w:space="0" w:color="auto"/>
            </w:tcBorders>
            <w:vAlign w:val="center"/>
          </w:tcPr>
          <w:p w14:paraId="052A8FD9" w14:textId="77777777" w:rsidR="00424A95" w:rsidRDefault="00424A95" w:rsidP="001409D8">
            <w:pPr>
              <w:spacing w:after="0" w:line="240" w:lineRule="auto"/>
              <w:jc w:val="center"/>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4CDD1CEC"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6" w:type="dxa"/>
            <w:tcBorders>
              <w:top w:val="single" w:sz="12" w:space="0" w:color="auto"/>
              <w:left w:val="single" w:sz="12" w:space="0" w:color="auto"/>
              <w:bottom w:val="single" w:sz="12" w:space="0" w:color="auto"/>
              <w:right w:val="single" w:sz="12" w:space="0" w:color="auto"/>
            </w:tcBorders>
            <w:noWrap/>
            <w:vAlign w:val="bottom"/>
            <w:hideMark/>
          </w:tcPr>
          <w:p w14:paraId="59AB6033"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1E9675E5"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5E0FEC58"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23EAE31B"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0517554F"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6B306AA6"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3B784FED"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119F070D"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6" w:type="dxa"/>
            <w:tcBorders>
              <w:top w:val="single" w:sz="12" w:space="0" w:color="auto"/>
              <w:left w:val="single" w:sz="12" w:space="0" w:color="auto"/>
              <w:bottom w:val="single" w:sz="12" w:space="0" w:color="auto"/>
              <w:right w:val="single" w:sz="12" w:space="0" w:color="auto"/>
            </w:tcBorders>
            <w:noWrap/>
            <w:vAlign w:val="bottom"/>
            <w:hideMark/>
          </w:tcPr>
          <w:p w14:paraId="1CDE29EF"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11FB6FBF"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75FAB585"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2E12A5EE"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1C74639F"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6" w:type="dxa"/>
            <w:tcBorders>
              <w:top w:val="single" w:sz="12" w:space="0" w:color="auto"/>
              <w:left w:val="single" w:sz="12" w:space="0" w:color="auto"/>
              <w:bottom w:val="single" w:sz="12" w:space="0" w:color="auto"/>
              <w:right w:val="single" w:sz="12" w:space="0" w:color="auto"/>
            </w:tcBorders>
            <w:noWrap/>
            <w:vAlign w:val="bottom"/>
            <w:hideMark/>
          </w:tcPr>
          <w:p w14:paraId="381E7B2B"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0467E123"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tcPr>
          <w:p w14:paraId="2034BE41"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2273827B" w14:textId="77777777" w:rsidR="00424A95" w:rsidRDefault="00424A95"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tcPr>
          <w:p w14:paraId="44616B5F" w14:textId="77777777" w:rsidR="00424A95" w:rsidRDefault="00424A95"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6860E850"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tcPr>
          <w:p w14:paraId="19759B8A"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2115B079" w14:textId="77777777" w:rsidR="00424A95" w:rsidRDefault="00424A95" w:rsidP="001409D8">
            <w:pPr>
              <w:spacing w:after="0" w:line="240" w:lineRule="auto"/>
              <w:rPr>
                <w:rFonts w:eastAsia="Times New Roman" w:cs="Times New Roman"/>
                <w:color w:val="000000"/>
                <w:lang w:eastAsia="fr-FR"/>
              </w:rPr>
            </w:pPr>
          </w:p>
        </w:tc>
        <w:tc>
          <w:tcPr>
            <w:tcW w:w="426" w:type="dxa"/>
            <w:tcBorders>
              <w:top w:val="single" w:sz="12" w:space="0" w:color="auto"/>
              <w:left w:val="single" w:sz="12" w:space="0" w:color="auto"/>
              <w:bottom w:val="single" w:sz="12" w:space="0" w:color="auto"/>
              <w:right w:val="single" w:sz="12" w:space="0" w:color="auto"/>
            </w:tcBorders>
          </w:tcPr>
          <w:p w14:paraId="0A6D480D"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74DDE1A2"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3900E429" w14:textId="70EDFBB2" w:rsidR="00424A95" w:rsidRDefault="00424A95" w:rsidP="001409D8">
            <w:pPr>
              <w:spacing w:after="0" w:line="240" w:lineRule="auto"/>
              <w:rPr>
                <w:rFonts w:eastAsia="Times New Roman" w:cs="Times New Roman"/>
                <w:color w:val="000000"/>
                <w:lang w:eastAsia="fr-FR"/>
              </w:rPr>
            </w:pPr>
          </w:p>
        </w:tc>
      </w:tr>
      <w:tr w:rsidR="00424A95" w14:paraId="00A87A93" w14:textId="1A03B2CB" w:rsidTr="000C2CDA">
        <w:trPr>
          <w:trHeight w:val="315"/>
        </w:trPr>
        <w:tc>
          <w:tcPr>
            <w:tcW w:w="1915" w:type="dxa"/>
            <w:tcBorders>
              <w:top w:val="single" w:sz="12" w:space="0" w:color="auto"/>
              <w:left w:val="single" w:sz="12" w:space="0" w:color="auto"/>
              <w:bottom w:val="single" w:sz="12" w:space="0" w:color="auto"/>
              <w:right w:val="single" w:sz="12" w:space="0" w:color="auto"/>
            </w:tcBorders>
            <w:shd w:val="clear" w:color="auto" w:fill="FFFF00"/>
            <w:vAlign w:val="center"/>
            <w:hideMark/>
          </w:tcPr>
          <w:p w14:paraId="3B62A990"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ACTIONS A COURT TERME</w:t>
            </w:r>
          </w:p>
        </w:tc>
        <w:tc>
          <w:tcPr>
            <w:tcW w:w="850" w:type="dxa"/>
            <w:tcBorders>
              <w:top w:val="single" w:sz="12" w:space="0" w:color="auto"/>
              <w:left w:val="single" w:sz="12" w:space="0" w:color="auto"/>
              <w:bottom w:val="single" w:sz="12" w:space="0" w:color="auto"/>
              <w:right w:val="single" w:sz="12" w:space="0" w:color="auto"/>
            </w:tcBorders>
            <w:vAlign w:val="center"/>
          </w:tcPr>
          <w:p w14:paraId="530FD313" w14:textId="77777777" w:rsidR="00424A95" w:rsidRDefault="00424A95" w:rsidP="001409D8">
            <w:pPr>
              <w:spacing w:after="0" w:line="240" w:lineRule="auto"/>
              <w:jc w:val="center"/>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212170F9"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6" w:type="dxa"/>
            <w:tcBorders>
              <w:top w:val="single" w:sz="12" w:space="0" w:color="auto"/>
              <w:left w:val="single" w:sz="12" w:space="0" w:color="auto"/>
              <w:bottom w:val="single" w:sz="12" w:space="0" w:color="auto"/>
              <w:right w:val="single" w:sz="12" w:space="0" w:color="auto"/>
            </w:tcBorders>
            <w:noWrap/>
            <w:vAlign w:val="bottom"/>
            <w:hideMark/>
          </w:tcPr>
          <w:p w14:paraId="1AF7B79B"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2C4B8329"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052ED135"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701C96E6"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13D5DBAF"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0E59923B"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1D4BAA1E"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7AC9FBB7"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6" w:type="dxa"/>
            <w:tcBorders>
              <w:top w:val="single" w:sz="12" w:space="0" w:color="auto"/>
              <w:left w:val="single" w:sz="12" w:space="0" w:color="auto"/>
              <w:bottom w:val="single" w:sz="12" w:space="0" w:color="auto"/>
              <w:right w:val="single" w:sz="12" w:space="0" w:color="auto"/>
            </w:tcBorders>
            <w:noWrap/>
            <w:vAlign w:val="bottom"/>
            <w:hideMark/>
          </w:tcPr>
          <w:p w14:paraId="31CA8BE0"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4264D589"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3160B559"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6619E33B"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0A2F4EB7"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6" w:type="dxa"/>
            <w:tcBorders>
              <w:top w:val="single" w:sz="12" w:space="0" w:color="auto"/>
              <w:left w:val="single" w:sz="12" w:space="0" w:color="auto"/>
              <w:bottom w:val="single" w:sz="12" w:space="0" w:color="auto"/>
              <w:right w:val="single" w:sz="12" w:space="0" w:color="auto"/>
            </w:tcBorders>
            <w:noWrap/>
            <w:vAlign w:val="bottom"/>
            <w:hideMark/>
          </w:tcPr>
          <w:p w14:paraId="53EB74C2"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0AEB0BC0"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tcPr>
          <w:p w14:paraId="762E6CFC"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6E17EE23" w14:textId="77777777" w:rsidR="00424A95" w:rsidRDefault="00424A95"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tcPr>
          <w:p w14:paraId="2717B8D1" w14:textId="77777777" w:rsidR="00424A95" w:rsidRDefault="00424A95"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5419E664"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tcPr>
          <w:p w14:paraId="62E2C626"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5B1BC8FD" w14:textId="77777777" w:rsidR="00424A95" w:rsidRDefault="00424A95" w:rsidP="001409D8">
            <w:pPr>
              <w:spacing w:after="0" w:line="240" w:lineRule="auto"/>
              <w:rPr>
                <w:rFonts w:eastAsia="Times New Roman" w:cs="Times New Roman"/>
                <w:color w:val="000000"/>
                <w:lang w:eastAsia="fr-FR"/>
              </w:rPr>
            </w:pPr>
          </w:p>
        </w:tc>
        <w:tc>
          <w:tcPr>
            <w:tcW w:w="426" w:type="dxa"/>
            <w:tcBorders>
              <w:top w:val="single" w:sz="12" w:space="0" w:color="auto"/>
              <w:left w:val="single" w:sz="12" w:space="0" w:color="auto"/>
              <w:bottom w:val="single" w:sz="12" w:space="0" w:color="auto"/>
              <w:right w:val="single" w:sz="12" w:space="0" w:color="auto"/>
            </w:tcBorders>
          </w:tcPr>
          <w:p w14:paraId="2FF523BD"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6F28EDD5"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2C8CF4ED" w14:textId="7F25FB5C" w:rsidR="00424A95" w:rsidRDefault="00424A95" w:rsidP="001409D8">
            <w:pPr>
              <w:spacing w:after="0" w:line="240" w:lineRule="auto"/>
              <w:rPr>
                <w:rFonts w:eastAsia="Times New Roman" w:cs="Times New Roman"/>
                <w:color w:val="000000"/>
                <w:lang w:eastAsia="fr-FR"/>
              </w:rPr>
            </w:pPr>
          </w:p>
        </w:tc>
      </w:tr>
      <w:tr w:rsidR="000C2CDA" w14:paraId="5E3941D6" w14:textId="567F17CF" w:rsidTr="000C2CDA">
        <w:trPr>
          <w:trHeight w:val="1200"/>
        </w:trPr>
        <w:tc>
          <w:tcPr>
            <w:tcW w:w="1915" w:type="dxa"/>
            <w:tcBorders>
              <w:top w:val="single" w:sz="12" w:space="0" w:color="auto"/>
              <w:left w:val="single" w:sz="12" w:space="0" w:color="auto"/>
              <w:bottom w:val="single" w:sz="12" w:space="0" w:color="auto"/>
              <w:right w:val="single" w:sz="12" w:space="0" w:color="auto"/>
            </w:tcBorders>
            <w:vAlign w:val="center"/>
            <w:hideMark/>
          </w:tcPr>
          <w:p w14:paraId="5A7310A0" w14:textId="216DD31E" w:rsidR="00424A95" w:rsidRDefault="00424A95" w:rsidP="001409D8">
            <w:pPr>
              <w:spacing w:after="0" w:line="240" w:lineRule="auto"/>
              <w:rPr>
                <w:rFonts w:eastAsia="Times New Roman" w:cs="Times New Roman"/>
                <w:color w:val="000000"/>
                <w:lang w:eastAsia="fr-FR"/>
              </w:rPr>
            </w:pPr>
            <w:r>
              <w:rPr>
                <w:szCs w:val="24"/>
              </w:rPr>
              <w:t>Sensibilisation et renforcement des capacités sur l’Open Data au sein des agences et ministères</w:t>
            </w:r>
          </w:p>
        </w:tc>
        <w:tc>
          <w:tcPr>
            <w:tcW w:w="850" w:type="dxa"/>
            <w:tcBorders>
              <w:top w:val="single" w:sz="12" w:space="0" w:color="auto"/>
              <w:left w:val="single" w:sz="12" w:space="0" w:color="auto"/>
              <w:bottom w:val="single" w:sz="12" w:space="0" w:color="auto"/>
              <w:right w:val="single" w:sz="12" w:space="0" w:color="auto"/>
            </w:tcBorders>
            <w:vAlign w:val="center"/>
            <w:hideMark/>
          </w:tcPr>
          <w:p w14:paraId="0B519EF3" w14:textId="2A999231" w:rsidR="00424A95" w:rsidRDefault="00773913" w:rsidP="001409D8">
            <w:pPr>
              <w:spacing w:after="0" w:line="240" w:lineRule="auto"/>
              <w:jc w:val="center"/>
              <w:rPr>
                <w:rFonts w:eastAsia="Times New Roman" w:cs="Times New Roman"/>
                <w:color w:val="000000"/>
                <w:lang w:eastAsia="fr-FR"/>
              </w:rPr>
            </w:pPr>
            <w:r>
              <w:rPr>
                <w:szCs w:val="24"/>
              </w:rPr>
              <w:t>CoPil</w:t>
            </w:r>
          </w:p>
        </w:tc>
        <w:tc>
          <w:tcPr>
            <w:tcW w:w="567" w:type="dxa"/>
            <w:tcBorders>
              <w:top w:val="single" w:sz="12" w:space="0" w:color="auto"/>
              <w:left w:val="single" w:sz="12" w:space="0" w:color="auto"/>
              <w:bottom w:val="single" w:sz="12" w:space="0" w:color="auto"/>
              <w:right w:val="single" w:sz="12" w:space="0" w:color="auto"/>
            </w:tcBorders>
            <w:noWrap/>
            <w:vAlign w:val="center"/>
            <w:hideMark/>
          </w:tcPr>
          <w:p w14:paraId="554B8088" w14:textId="3EC5B8A3" w:rsidR="00424A95" w:rsidRDefault="00424A95" w:rsidP="001409D8">
            <w:pPr>
              <w:spacing w:after="0" w:line="240" w:lineRule="auto"/>
              <w:jc w:val="center"/>
              <w:rPr>
                <w:rFonts w:eastAsia="Times New Roman" w:cs="Times New Roman"/>
                <w:color w:val="000000"/>
                <w:lang w:eastAsia="fr-FR"/>
              </w:rPr>
            </w:pPr>
            <w:r>
              <w:rPr>
                <w:rFonts w:eastAsia="Times New Roman" w:cs="Times New Roman"/>
                <w:color w:val="000000"/>
                <w:lang w:eastAsia="fr-FR"/>
              </w:rPr>
              <w:t>400</w:t>
            </w:r>
            <w:r w:rsidR="00773913">
              <w:rPr>
                <w:rFonts w:eastAsia="Times New Roman" w:cs="Times New Roman"/>
                <w:color w:val="000000"/>
                <w:lang w:eastAsia="fr-FR"/>
              </w:rPr>
              <w:t>-500</w:t>
            </w:r>
            <w:r>
              <w:rPr>
                <w:rFonts w:eastAsia="Times New Roman" w:cs="Times New Roman"/>
                <w:color w:val="000000"/>
                <w:lang w:eastAsia="fr-FR"/>
              </w:rPr>
              <w:t>k</w:t>
            </w:r>
          </w:p>
        </w:tc>
        <w:tc>
          <w:tcPr>
            <w:tcW w:w="426" w:type="dxa"/>
            <w:tcBorders>
              <w:top w:val="single" w:sz="12" w:space="0" w:color="auto"/>
              <w:left w:val="single" w:sz="12" w:space="0" w:color="auto"/>
              <w:bottom w:val="single" w:sz="12" w:space="0" w:color="auto"/>
              <w:right w:val="single" w:sz="12" w:space="0" w:color="auto"/>
            </w:tcBorders>
            <w:noWrap/>
            <w:vAlign w:val="bottom"/>
            <w:hideMark/>
          </w:tcPr>
          <w:p w14:paraId="4C8EBA58"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1A8FB31D"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hideMark/>
          </w:tcPr>
          <w:p w14:paraId="78995965"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hideMark/>
          </w:tcPr>
          <w:p w14:paraId="2E076DB4"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hideMark/>
          </w:tcPr>
          <w:p w14:paraId="6E086F86"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hideMark/>
          </w:tcPr>
          <w:p w14:paraId="54AB5F6A"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hideMark/>
          </w:tcPr>
          <w:p w14:paraId="4D784989"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hideMark/>
          </w:tcPr>
          <w:p w14:paraId="1AA9F96B"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6"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hideMark/>
          </w:tcPr>
          <w:p w14:paraId="05D23FE3"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hideMark/>
          </w:tcPr>
          <w:p w14:paraId="6DE99BEA"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hideMark/>
          </w:tcPr>
          <w:p w14:paraId="360F3F8B"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hideMark/>
          </w:tcPr>
          <w:p w14:paraId="020581C1"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hideMark/>
          </w:tcPr>
          <w:p w14:paraId="284F7CD1"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6"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hideMark/>
          </w:tcPr>
          <w:p w14:paraId="0C741E25"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hideMark/>
          </w:tcPr>
          <w:p w14:paraId="5DB52F1B"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shd w:val="clear" w:color="auto" w:fill="E36C0A" w:themeFill="accent6" w:themeFillShade="BF"/>
          </w:tcPr>
          <w:p w14:paraId="0ADD0B75"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shd w:val="clear" w:color="auto" w:fill="E36C0A" w:themeFill="accent6" w:themeFillShade="BF"/>
          </w:tcPr>
          <w:p w14:paraId="5D0D4984" w14:textId="77777777" w:rsidR="00424A95" w:rsidRDefault="00424A95"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shd w:val="clear" w:color="auto" w:fill="E36C0A" w:themeFill="accent6" w:themeFillShade="BF"/>
          </w:tcPr>
          <w:p w14:paraId="61CA27C4" w14:textId="77777777" w:rsidR="00424A95" w:rsidRDefault="00424A95"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hideMark/>
          </w:tcPr>
          <w:p w14:paraId="236469BD"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shd w:val="clear" w:color="auto" w:fill="E36C0A" w:themeFill="accent6" w:themeFillShade="BF"/>
          </w:tcPr>
          <w:p w14:paraId="7F06DAD9"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shd w:val="clear" w:color="auto" w:fill="E36C0A" w:themeFill="accent6" w:themeFillShade="BF"/>
          </w:tcPr>
          <w:p w14:paraId="49D92CDA" w14:textId="77777777" w:rsidR="00424A95" w:rsidRDefault="00424A95" w:rsidP="001409D8">
            <w:pPr>
              <w:spacing w:after="0" w:line="240" w:lineRule="auto"/>
              <w:rPr>
                <w:rFonts w:eastAsia="Times New Roman" w:cs="Times New Roman"/>
                <w:color w:val="000000"/>
                <w:lang w:eastAsia="fr-FR"/>
              </w:rPr>
            </w:pPr>
          </w:p>
        </w:tc>
        <w:tc>
          <w:tcPr>
            <w:tcW w:w="426" w:type="dxa"/>
            <w:tcBorders>
              <w:top w:val="single" w:sz="12" w:space="0" w:color="auto"/>
              <w:left w:val="single" w:sz="12" w:space="0" w:color="auto"/>
              <w:bottom w:val="single" w:sz="12" w:space="0" w:color="auto"/>
              <w:right w:val="single" w:sz="12" w:space="0" w:color="auto"/>
            </w:tcBorders>
            <w:shd w:val="clear" w:color="auto" w:fill="E36C0A" w:themeFill="accent6" w:themeFillShade="BF"/>
          </w:tcPr>
          <w:p w14:paraId="524615B1"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shd w:val="clear" w:color="auto" w:fill="E36C0A" w:themeFill="accent6" w:themeFillShade="BF"/>
          </w:tcPr>
          <w:p w14:paraId="74553230"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shd w:val="clear" w:color="auto" w:fill="E36C0A" w:themeFill="accent6" w:themeFillShade="BF"/>
          </w:tcPr>
          <w:p w14:paraId="738DCCDF" w14:textId="1038F67F" w:rsidR="00424A95" w:rsidRDefault="00424A95" w:rsidP="001409D8">
            <w:pPr>
              <w:spacing w:after="0" w:line="240" w:lineRule="auto"/>
              <w:rPr>
                <w:rFonts w:eastAsia="Times New Roman" w:cs="Times New Roman"/>
                <w:color w:val="000000"/>
                <w:lang w:eastAsia="fr-FR"/>
              </w:rPr>
            </w:pPr>
          </w:p>
        </w:tc>
      </w:tr>
      <w:tr w:rsidR="00773913" w14:paraId="23D6C7A7" w14:textId="77777777" w:rsidTr="00A113C0">
        <w:trPr>
          <w:trHeight w:val="847"/>
        </w:trPr>
        <w:tc>
          <w:tcPr>
            <w:tcW w:w="1915" w:type="dxa"/>
            <w:tcBorders>
              <w:top w:val="single" w:sz="12" w:space="0" w:color="auto"/>
              <w:left w:val="single" w:sz="12" w:space="0" w:color="auto"/>
              <w:bottom w:val="single" w:sz="12" w:space="0" w:color="auto"/>
              <w:right w:val="single" w:sz="12" w:space="0" w:color="auto"/>
            </w:tcBorders>
            <w:vAlign w:val="center"/>
          </w:tcPr>
          <w:p w14:paraId="1E1A08E0" w14:textId="27B91377" w:rsidR="00773913" w:rsidRDefault="00773913" w:rsidP="001409D8">
            <w:pPr>
              <w:spacing w:after="0" w:line="240" w:lineRule="auto"/>
              <w:rPr>
                <w:szCs w:val="24"/>
              </w:rPr>
            </w:pPr>
            <w:r>
              <w:rPr>
                <w:szCs w:val="24"/>
              </w:rPr>
              <w:t>Mise en Place d’une équipe technique</w:t>
            </w:r>
          </w:p>
        </w:tc>
        <w:tc>
          <w:tcPr>
            <w:tcW w:w="850" w:type="dxa"/>
            <w:tcBorders>
              <w:top w:val="single" w:sz="12" w:space="0" w:color="auto"/>
              <w:left w:val="single" w:sz="12" w:space="0" w:color="auto"/>
              <w:bottom w:val="single" w:sz="12" w:space="0" w:color="auto"/>
              <w:right w:val="single" w:sz="12" w:space="0" w:color="auto"/>
            </w:tcBorders>
            <w:vAlign w:val="center"/>
          </w:tcPr>
          <w:p w14:paraId="67D34A85" w14:textId="38532D36" w:rsidR="00773913" w:rsidRDefault="00773913" w:rsidP="001409D8">
            <w:pPr>
              <w:spacing w:after="0" w:line="240" w:lineRule="auto"/>
              <w:jc w:val="center"/>
              <w:rPr>
                <w:szCs w:val="24"/>
              </w:rPr>
            </w:pPr>
            <w:r>
              <w:rPr>
                <w:szCs w:val="24"/>
              </w:rPr>
              <w:t>CoPil</w:t>
            </w:r>
          </w:p>
        </w:tc>
        <w:tc>
          <w:tcPr>
            <w:tcW w:w="567" w:type="dxa"/>
            <w:tcBorders>
              <w:top w:val="single" w:sz="12" w:space="0" w:color="auto"/>
              <w:left w:val="single" w:sz="12" w:space="0" w:color="auto"/>
              <w:bottom w:val="single" w:sz="12" w:space="0" w:color="auto"/>
              <w:right w:val="single" w:sz="12" w:space="0" w:color="auto"/>
            </w:tcBorders>
            <w:noWrap/>
            <w:vAlign w:val="center"/>
          </w:tcPr>
          <w:p w14:paraId="2FDEC5A8" w14:textId="77777777" w:rsidR="00773913" w:rsidRDefault="00773913" w:rsidP="001409D8">
            <w:pPr>
              <w:spacing w:after="0" w:line="240" w:lineRule="auto"/>
              <w:jc w:val="center"/>
              <w:rPr>
                <w:rFonts w:eastAsia="Times New Roman" w:cs="Times New Roman"/>
                <w:color w:val="000000"/>
                <w:lang w:eastAsia="fr-FR"/>
              </w:rPr>
            </w:pPr>
          </w:p>
        </w:tc>
        <w:tc>
          <w:tcPr>
            <w:tcW w:w="426" w:type="dxa"/>
            <w:tcBorders>
              <w:top w:val="single" w:sz="12" w:space="0" w:color="auto"/>
              <w:left w:val="single" w:sz="12" w:space="0" w:color="auto"/>
              <w:bottom w:val="single" w:sz="12" w:space="0" w:color="auto"/>
              <w:right w:val="single" w:sz="12" w:space="0" w:color="auto"/>
            </w:tcBorders>
            <w:noWrap/>
            <w:vAlign w:val="bottom"/>
          </w:tcPr>
          <w:p w14:paraId="105182BE" w14:textId="77777777" w:rsidR="00773913" w:rsidRDefault="00773913"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noWrap/>
            <w:vAlign w:val="bottom"/>
          </w:tcPr>
          <w:p w14:paraId="22117C28" w14:textId="77777777" w:rsidR="00773913" w:rsidRDefault="00773913"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shd w:val="clear" w:color="auto" w:fill="FFFFFF" w:themeFill="background1"/>
            <w:noWrap/>
            <w:vAlign w:val="bottom"/>
          </w:tcPr>
          <w:p w14:paraId="13D4C8CD" w14:textId="77777777" w:rsidR="00773913" w:rsidRDefault="00773913"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shd w:val="clear" w:color="auto" w:fill="FFFFFF" w:themeFill="background1"/>
            <w:noWrap/>
            <w:vAlign w:val="bottom"/>
          </w:tcPr>
          <w:p w14:paraId="652811C6" w14:textId="77777777" w:rsidR="00773913" w:rsidRDefault="00773913"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shd w:val="clear" w:color="auto" w:fill="FFFFFF" w:themeFill="background1"/>
            <w:noWrap/>
            <w:vAlign w:val="bottom"/>
          </w:tcPr>
          <w:p w14:paraId="4D3EC6B3" w14:textId="77777777" w:rsidR="00773913" w:rsidRDefault="00773913"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tcPr>
          <w:p w14:paraId="7C599ED6" w14:textId="77777777" w:rsidR="00773913" w:rsidRDefault="00773913"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tcPr>
          <w:p w14:paraId="152F6178" w14:textId="77777777" w:rsidR="00773913" w:rsidRDefault="00773913"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tcPr>
          <w:p w14:paraId="55BAF775" w14:textId="77777777" w:rsidR="00773913" w:rsidRDefault="00773913" w:rsidP="001409D8">
            <w:pPr>
              <w:spacing w:after="0" w:line="240" w:lineRule="auto"/>
              <w:rPr>
                <w:rFonts w:eastAsia="Times New Roman" w:cs="Times New Roman"/>
                <w:color w:val="000000"/>
                <w:lang w:eastAsia="fr-FR"/>
              </w:rPr>
            </w:pPr>
          </w:p>
        </w:tc>
        <w:tc>
          <w:tcPr>
            <w:tcW w:w="426"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tcPr>
          <w:p w14:paraId="00B42C8F" w14:textId="77777777" w:rsidR="00773913" w:rsidRDefault="00773913"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tcPr>
          <w:p w14:paraId="1B1E1064" w14:textId="77777777" w:rsidR="00773913" w:rsidRDefault="00773913"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tcPr>
          <w:p w14:paraId="6B6786C5" w14:textId="77777777" w:rsidR="00773913" w:rsidRDefault="00773913"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tcPr>
          <w:p w14:paraId="7DAA32FB" w14:textId="77777777" w:rsidR="00773913" w:rsidRDefault="00773913"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tcPr>
          <w:p w14:paraId="0572AFB6" w14:textId="77777777" w:rsidR="00773913" w:rsidRDefault="00773913" w:rsidP="001409D8">
            <w:pPr>
              <w:spacing w:after="0" w:line="240" w:lineRule="auto"/>
              <w:rPr>
                <w:rFonts w:eastAsia="Times New Roman" w:cs="Times New Roman"/>
                <w:color w:val="000000"/>
                <w:lang w:eastAsia="fr-FR"/>
              </w:rPr>
            </w:pPr>
          </w:p>
        </w:tc>
        <w:tc>
          <w:tcPr>
            <w:tcW w:w="426"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tcPr>
          <w:p w14:paraId="1BCB9B95" w14:textId="77777777" w:rsidR="00773913" w:rsidRDefault="00773913"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tcPr>
          <w:p w14:paraId="6D1C5B06" w14:textId="77777777" w:rsidR="00773913" w:rsidRDefault="00773913"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shd w:val="clear" w:color="auto" w:fill="E36C0A" w:themeFill="accent6" w:themeFillShade="BF"/>
          </w:tcPr>
          <w:p w14:paraId="73DCE259" w14:textId="77777777" w:rsidR="00773913" w:rsidRDefault="00773913"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shd w:val="clear" w:color="auto" w:fill="E36C0A" w:themeFill="accent6" w:themeFillShade="BF"/>
          </w:tcPr>
          <w:p w14:paraId="7BE46332" w14:textId="77777777" w:rsidR="00773913" w:rsidRDefault="00773913"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shd w:val="clear" w:color="auto" w:fill="E36C0A" w:themeFill="accent6" w:themeFillShade="BF"/>
          </w:tcPr>
          <w:p w14:paraId="03BE608A" w14:textId="77777777" w:rsidR="00773913" w:rsidRDefault="00773913"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tcPr>
          <w:p w14:paraId="398A4CD9" w14:textId="77777777" w:rsidR="00773913" w:rsidRDefault="00773913"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shd w:val="clear" w:color="auto" w:fill="E36C0A" w:themeFill="accent6" w:themeFillShade="BF"/>
          </w:tcPr>
          <w:p w14:paraId="09B2FBF3" w14:textId="77777777" w:rsidR="00773913" w:rsidRDefault="00773913"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shd w:val="clear" w:color="auto" w:fill="E36C0A" w:themeFill="accent6" w:themeFillShade="BF"/>
          </w:tcPr>
          <w:p w14:paraId="327847F5" w14:textId="77777777" w:rsidR="00773913" w:rsidRDefault="00773913" w:rsidP="001409D8">
            <w:pPr>
              <w:spacing w:after="0" w:line="240" w:lineRule="auto"/>
              <w:rPr>
                <w:rFonts w:eastAsia="Times New Roman" w:cs="Times New Roman"/>
                <w:color w:val="000000"/>
                <w:lang w:eastAsia="fr-FR"/>
              </w:rPr>
            </w:pPr>
          </w:p>
        </w:tc>
        <w:tc>
          <w:tcPr>
            <w:tcW w:w="426" w:type="dxa"/>
            <w:tcBorders>
              <w:top w:val="single" w:sz="12" w:space="0" w:color="auto"/>
              <w:left w:val="single" w:sz="12" w:space="0" w:color="auto"/>
              <w:bottom w:val="single" w:sz="12" w:space="0" w:color="auto"/>
              <w:right w:val="single" w:sz="12" w:space="0" w:color="auto"/>
            </w:tcBorders>
            <w:shd w:val="clear" w:color="auto" w:fill="E36C0A" w:themeFill="accent6" w:themeFillShade="BF"/>
          </w:tcPr>
          <w:p w14:paraId="4B6D6210" w14:textId="77777777" w:rsidR="00773913" w:rsidRDefault="00773913"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shd w:val="clear" w:color="auto" w:fill="E36C0A" w:themeFill="accent6" w:themeFillShade="BF"/>
          </w:tcPr>
          <w:p w14:paraId="3E57D468" w14:textId="77777777" w:rsidR="00773913" w:rsidRDefault="00773913"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shd w:val="clear" w:color="auto" w:fill="E36C0A" w:themeFill="accent6" w:themeFillShade="BF"/>
          </w:tcPr>
          <w:p w14:paraId="4A7C7664" w14:textId="77777777" w:rsidR="00773913" w:rsidRDefault="00773913" w:rsidP="001409D8">
            <w:pPr>
              <w:spacing w:after="0" w:line="240" w:lineRule="auto"/>
              <w:rPr>
                <w:rFonts w:eastAsia="Times New Roman" w:cs="Times New Roman"/>
                <w:color w:val="000000"/>
                <w:lang w:eastAsia="fr-FR"/>
              </w:rPr>
            </w:pPr>
          </w:p>
        </w:tc>
      </w:tr>
      <w:tr w:rsidR="00424A95" w14:paraId="10F8FF28" w14:textId="6415E0B7" w:rsidTr="000C2CDA">
        <w:trPr>
          <w:trHeight w:val="315"/>
        </w:trPr>
        <w:tc>
          <w:tcPr>
            <w:tcW w:w="1915" w:type="dxa"/>
            <w:tcBorders>
              <w:top w:val="single" w:sz="12" w:space="0" w:color="auto"/>
              <w:left w:val="single" w:sz="12" w:space="0" w:color="auto"/>
              <w:bottom w:val="single" w:sz="12" w:space="0" w:color="auto"/>
              <w:right w:val="single" w:sz="12" w:space="0" w:color="auto"/>
            </w:tcBorders>
            <w:shd w:val="clear" w:color="auto" w:fill="8DB4E2"/>
            <w:vAlign w:val="center"/>
            <w:hideMark/>
          </w:tcPr>
          <w:p w14:paraId="559FA833"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xml:space="preserve">ACTIONS A MOYEN TERME </w:t>
            </w:r>
          </w:p>
        </w:tc>
        <w:tc>
          <w:tcPr>
            <w:tcW w:w="850" w:type="dxa"/>
            <w:tcBorders>
              <w:top w:val="single" w:sz="12" w:space="0" w:color="auto"/>
              <w:left w:val="single" w:sz="12" w:space="0" w:color="auto"/>
              <w:bottom w:val="single" w:sz="12" w:space="0" w:color="auto"/>
              <w:right w:val="single" w:sz="12" w:space="0" w:color="auto"/>
            </w:tcBorders>
            <w:vAlign w:val="center"/>
          </w:tcPr>
          <w:p w14:paraId="69049739" w14:textId="77777777" w:rsidR="00424A95" w:rsidRDefault="00424A95" w:rsidP="001409D8">
            <w:pPr>
              <w:spacing w:after="0" w:line="240" w:lineRule="auto"/>
              <w:jc w:val="center"/>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noWrap/>
            <w:vAlign w:val="center"/>
            <w:hideMark/>
          </w:tcPr>
          <w:p w14:paraId="702A58B8" w14:textId="77777777" w:rsidR="00424A95" w:rsidRDefault="00424A95" w:rsidP="001409D8">
            <w:pPr>
              <w:rPr>
                <w:rFonts w:eastAsia="Times New Roman" w:cs="Times New Roman"/>
                <w:color w:val="000000"/>
                <w:lang w:eastAsia="fr-FR"/>
              </w:rPr>
            </w:pPr>
          </w:p>
        </w:tc>
        <w:tc>
          <w:tcPr>
            <w:tcW w:w="426" w:type="dxa"/>
            <w:tcBorders>
              <w:top w:val="single" w:sz="12" w:space="0" w:color="auto"/>
              <w:left w:val="single" w:sz="12" w:space="0" w:color="auto"/>
              <w:bottom w:val="single" w:sz="12" w:space="0" w:color="auto"/>
              <w:right w:val="single" w:sz="12" w:space="0" w:color="auto"/>
            </w:tcBorders>
            <w:noWrap/>
            <w:vAlign w:val="bottom"/>
            <w:hideMark/>
          </w:tcPr>
          <w:p w14:paraId="239A8414"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79C9C935"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198B03E9"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0521CA54"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7C5BB355"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64FBB445"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273FA697"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4FE6BB6E"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6" w:type="dxa"/>
            <w:tcBorders>
              <w:top w:val="single" w:sz="12" w:space="0" w:color="auto"/>
              <w:left w:val="single" w:sz="12" w:space="0" w:color="auto"/>
              <w:bottom w:val="single" w:sz="12" w:space="0" w:color="auto"/>
              <w:right w:val="single" w:sz="12" w:space="0" w:color="auto"/>
            </w:tcBorders>
            <w:noWrap/>
            <w:vAlign w:val="bottom"/>
            <w:hideMark/>
          </w:tcPr>
          <w:p w14:paraId="61B15D3A"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6C5253FB"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2D6CC330"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4088DDC8"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5DB11739"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6" w:type="dxa"/>
            <w:tcBorders>
              <w:top w:val="single" w:sz="12" w:space="0" w:color="auto"/>
              <w:left w:val="single" w:sz="12" w:space="0" w:color="auto"/>
              <w:bottom w:val="single" w:sz="12" w:space="0" w:color="auto"/>
              <w:right w:val="single" w:sz="12" w:space="0" w:color="auto"/>
            </w:tcBorders>
            <w:noWrap/>
            <w:vAlign w:val="bottom"/>
            <w:hideMark/>
          </w:tcPr>
          <w:p w14:paraId="6DD4D02D"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184352D3"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tcPr>
          <w:p w14:paraId="69CD2185"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7D8BE658" w14:textId="77777777" w:rsidR="00424A95" w:rsidRDefault="00424A95"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tcPr>
          <w:p w14:paraId="7B10C7E9" w14:textId="77777777" w:rsidR="00424A95" w:rsidRDefault="00424A95"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4DD21EEB"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tcPr>
          <w:p w14:paraId="2B7AFF1B"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618E855A" w14:textId="77777777" w:rsidR="00424A95" w:rsidRDefault="00424A95" w:rsidP="001409D8">
            <w:pPr>
              <w:spacing w:after="0" w:line="240" w:lineRule="auto"/>
              <w:rPr>
                <w:rFonts w:eastAsia="Times New Roman" w:cs="Times New Roman"/>
                <w:color w:val="000000"/>
                <w:lang w:eastAsia="fr-FR"/>
              </w:rPr>
            </w:pPr>
          </w:p>
        </w:tc>
        <w:tc>
          <w:tcPr>
            <w:tcW w:w="426" w:type="dxa"/>
            <w:tcBorders>
              <w:top w:val="single" w:sz="12" w:space="0" w:color="auto"/>
              <w:left w:val="single" w:sz="12" w:space="0" w:color="auto"/>
              <w:bottom w:val="single" w:sz="12" w:space="0" w:color="auto"/>
              <w:right w:val="single" w:sz="12" w:space="0" w:color="auto"/>
            </w:tcBorders>
          </w:tcPr>
          <w:p w14:paraId="541BBD3F"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77E93E6D"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0F12E9C7" w14:textId="0373434B" w:rsidR="00424A95" w:rsidRDefault="00424A95" w:rsidP="001409D8">
            <w:pPr>
              <w:spacing w:after="0" w:line="240" w:lineRule="auto"/>
              <w:rPr>
                <w:rFonts w:eastAsia="Times New Roman" w:cs="Times New Roman"/>
                <w:color w:val="000000"/>
                <w:lang w:eastAsia="fr-FR"/>
              </w:rPr>
            </w:pPr>
          </w:p>
        </w:tc>
      </w:tr>
      <w:tr w:rsidR="000C2CDA" w14:paraId="2E4CDAF5" w14:textId="537F71DA" w:rsidTr="000C2CDA">
        <w:trPr>
          <w:trHeight w:val="782"/>
        </w:trPr>
        <w:tc>
          <w:tcPr>
            <w:tcW w:w="1915" w:type="dxa"/>
            <w:tcBorders>
              <w:top w:val="single" w:sz="12" w:space="0" w:color="auto"/>
              <w:left w:val="single" w:sz="12" w:space="0" w:color="auto"/>
              <w:bottom w:val="single" w:sz="12" w:space="0" w:color="auto"/>
              <w:right w:val="single" w:sz="12" w:space="0" w:color="auto"/>
            </w:tcBorders>
            <w:vAlign w:val="center"/>
            <w:hideMark/>
          </w:tcPr>
          <w:p w14:paraId="3B615695" w14:textId="77777777" w:rsidR="00424A95" w:rsidRDefault="00424A95" w:rsidP="001409D8">
            <w:pPr>
              <w:rPr>
                <w:sz w:val="24"/>
                <w:szCs w:val="24"/>
              </w:rPr>
            </w:pPr>
            <w:r>
              <w:rPr>
                <w:szCs w:val="24"/>
              </w:rPr>
              <w:t xml:space="preserve">Expansion de l’initiative à toutes les agences et ministères incluant des actions de sensibilisation et le renforcement des capacités </w:t>
            </w:r>
          </w:p>
        </w:tc>
        <w:tc>
          <w:tcPr>
            <w:tcW w:w="850" w:type="dxa"/>
            <w:tcBorders>
              <w:top w:val="single" w:sz="12" w:space="0" w:color="auto"/>
              <w:left w:val="single" w:sz="12" w:space="0" w:color="auto"/>
              <w:bottom w:val="single" w:sz="12" w:space="0" w:color="auto"/>
              <w:right w:val="single" w:sz="12" w:space="0" w:color="auto"/>
            </w:tcBorders>
            <w:vAlign w:val="center"/>
            <w:hideMark/>
          </w:tcPr>
          <w:p w14:paraId="20435CAF" w14:textId="79818537" w:rsidR="00424A95" w:rsidRDefault="00773913" w:rsidP="001409D8">
            <w:pPr>
              <w:spacing w:after="0" w:line="240" w:lineRule="auto"/>
              <w:jc w:val="center"/>
              <w:rPr>
                <w:rFonts w:eastAsia="Times New Roman" w:cs="Times New Roman"/>
                <w:color w:val="000000"/>
                <w:lang w:eastAsia="fr-FR"/>
              </w:rPr>
            </w:pPr>
            <w:r>
              <w:rPr>
                <w:szCs w:val="24"/>
              </w:rPr>
              <w:t>CoPil</w:t>
            </w:r>
          </w:p>
        </w:tc>
        <w:tc>
          <w:tcPr>
            <w:tcW w:w="567" w:type="dxa"/>
            <w:tcBorders>
              <w:top w:val="single" w:sz="12" w:space="0" w:color="auto"/>
              <w:left w:val="single" w:sz="12" w:space="0" w:color="auto"/>
              <w:bottom w:val="single" w:sz="12" w:space="0" w:color="auto"/>
              <w:right w:val="single" w:sz="12" w:space="0" w:color="auto"/>
            </w:tcBorders>
            <w:noWrap/>
            <w:vAlign w:val="center"/>
            <w:hideMark/>
          </w:tcPr>
          <w:p w14:paraId="53477526" w14:textId="2345469C" w:rsidR="00424A95" w:rsidRDefault="00424A95" w:rsidP="001409D8">
            <w:pPr>
              <w:spacing w:after="0" w:line="240" w:lineRule="auto"/>
              <w:jc w:val="center"/>
              <w:rPr>
                <w:rFonts w:eastAsia="Times New Roman" w:cs="Times New Roman"/>
                <w:color w:val="000000"/>
                <w:lang w:eastAsia="fr-FR"/>
              </w:rPr>
            </w:pPr>
            <w:r>
              <w:rPr>
                <w:rFonts w:eastAsia="Times New Roman" w:cs="Times New Roman"/>
                <w:color w:val="000000"/>
                <w:lang w:eastAsia="fr-FR"/>
              </w:rPr>
              <w:t>400</w:t>
            </w:r>
            <w:r w:rsidR="00773913">
              <w:rPr>
                <w:rFonts w:eastAsia="Times New Roman" w:cs="Times New Roman"/>
                <w:color w:val="000000"/>
                <w:lang w:eastAsia="fr-FR"/>
              </w:rPr>
              <w:t>- 500</w:t>
            </w:r>
            <w:r>
              <w:rPr>
                <w:rFonts w:eastAsia="Times New Roman" w:cs="Times New Roman"/>
                <w:color w:val="000000"/>
                <w:lang w:eastAsia="fr-FR"/>
              </w:rPr>
              <w:t>k</w:t>
            </w:r>
          </w:p>
        </w:tc>
        <w:tc>
          <w:tcPr>
            <w:tcW w:w="426" w:type="dxa"/>
            <w:tcBorders>
              <w:top w:val="single" w:sz="12" w:space="0" w:color="auto"/>
              <w:left w:val="single" w:sz="12" w:space="0" w:color="auto"/>
              <w:bottom w:val="single" w:sz="12" w:space="0" w:color="auto"/>
              <w:right w:val="single" w:sz="12" w:space="0" w:color="auto"/>
            </w:tcBorders>
            <w:noWrap/>
            <w:vAlign w:val="bottom"/>
            <w:hideMark/>
          </w:tcPr>
          <w:p w14:paraId="776608E5"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20702E15"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6823B8AF"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3D70F3F5"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314BC470"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42BBCCA3"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39A65BC9"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3E1C0E4E"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6" w:type="dxa"/>
            <w:tcBorders>
              <w:top w:val="single" w:sz="12" w:space="0" w:color="auto"/>
              <w:left w:val="single" w:sz="12" w:space="0" w:color="auto"/>
              <w:bottom w:val="single" w:sz="12" w:space="0" w:color="auto"/>
              <w:right w:val="single" w:sz="12" w:space="0" w:color="auto"/>
            </w:tcBorders>
            <w:noWrap/>
            <w:vAlign w:val="bottom"/>
            <w:hideMark/>
          </w:tcPr>
          <w:p w14:paraId="555D8979"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006FB736"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58D43455"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5FE8970A"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hideMark/>
          </w:tcPr>
          <w:p w14:paraId="78F75117"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6"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hideMark/>
          </w:tcPr>
          <w:p w14:paraId="42EEE63A"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hideMark/>
          </w:tcPr>
          <w:p w14:paraId="6203171C"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shd w:val="clear" w:color="auto" w:fill="E36C0A" w:themeFill="accent6" w:themeFillShade="BF"/>
          </w:tcPr>
          <w:p w14:paraId="2B9A776C"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shd w:val="clear" w:color="auto" w:fill="E36C0A" w:themeFill="accent6" w:themeFillShade="BF"/>
          </w:tcPr>
          <w:p w14:paraId="5FE43370" w14:textId="77777777" w:rsidR="00424A95" w:rsidRDefault="00424A95"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shd w:val="clear" w:color="auto" w:fill="E36C0A" w:themeFill="accent6" w:themeFillShade="BF"/>
          </w:tcPr>
          <w:p w14:paraId="50963B49" w14:textId="77777777" w:rsidR="00424A95" w:rsidRDefault="00424A95"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hideMark/>
          </w:tcPr>
          <w:p w14:paraId="2E6D3311"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shd w:val="clear" w:color="auto" w:fill="E36C0A" w:themeFill="accent6" w:themeFillShade="BF"/>
          </w:tcPr>
          <w:p w14:paraId="252A7955"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shd w:val="clear" w:color="auto" w:fill="E36C0A" w:themeFill="accent6" w:themeFillShade="BF"/>
          </w:tcPr>
          <w:p w14:paraId="6D620CD4" w14:textId="77777777" w:rsidR="00424A95" w:rsidRDefault="00424A95" w:rsidP="001409D8">
            <w:pPr>
              <w:spacing w:after="0" w:line="240" w:lineRule="auto"/>
              <w:rPr>
                <w:rFonts w:eastAsia="Times New Roman" w:cs="Times New Roman"/>
                <w:color w:val="000000"/>
                <w:lang w:eastAsia="fr-FR"/>
              </w:rPr>
            </w:pPr>
          </w:p>
        </w:tc>
        <w:tc>
          <w:tcPr>
            <w:tcW w:w="426" w:type="dxa"/>
            <w:tcBorders>
              <w:top w:val="single" w:sz="12" w:space="0" w:color="auto"/>
              <w:left w:val="single" w:sz="12" w:space="0" w:color="auto"/>
              <w:bottom w:val="single" w:sz="12" w:space="0" w:color="auto"/>
              <w:right w:val="single" w:sz="12" w:space="0" w:color="auto"/>
            </w:tcBorders>
            <w:shd w:val="clear" w:color="auto" w:fill="E36C0A" w:themeFill="accent6" w:themeFillShade="BF"/>
          </w:tcPr>
          <w:p w14:paraId="4A42E496"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shd w:val="clear" w:color="auto" w:fill="E36C0A" w:themeFill="accent6" w:themeFillShade="BF"/>
          </w:tcPr>
          <w:p w14:paraId="6BDD27D5"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shd w:val="clear" w:color="auto" w:fill="E36C0A" w:themeFill="accent6" w:themeFillShade="BF"/>
          </w:tcPr>
          <w:p w14:paraId="34DB4CBD" w14:textId="4A0CE5EA" w:rsidR="00424A95" w:rsidRDefault="00424A95" w:rsidP="001409D8">
            <w:pPr>
              <w:spacing w:after="0" w:line="240" w:lineRule="auto"/>
              <w:rPr>
                <w:rFonts w:eastAsia="Times New Roman" w:cs="Times New Roman"/>
                <w:color w:val="000000"/>
                <w:lang w:eastAsia="fr-FR"/>
              </w:rPr>
            </w:pPr>
          </w:p>
        </w:tc>
      </w:tr>
      <w:tr w:rsidR="00424A95" w14:paraId="1A1282B5" w14:textId="2FA74265" w:rsidTr="000C2CDA">
        <w:trPr>
          <w:trHeight w:val="375"/>
        </w:trPr>
        <w:tc>
          <w:tcPr>
            <w:tcW w:w="1915" w:type="dxa"/>
            <w:tcBorders>
              <w:top w:val="single" w:sz="12" w:space="0" w:color="auto"/>
              <w:left w:val="single" w:sz="12" w:space="0" w:color="auto"/>
              <w:bottom w:val="single" w:sz="12" w:space="0" w:color="auto"/>
              <w:right w:val="single" w:sz="12" w:space="0" w:color="auto"/>
            </w:tcBorders>
            <w:shd w:val="clear" w:color="auto" w:fill="92D050"/>
            <w:vAlign w:val="center"/>
            <w:hideMark/>
          </w:tcPr>
          <w:p w14:paraId="5578C34B" w14:textId="045787B5" w:rsidR="00424A95" w:rsidRDefault="00424A95" w:rsidP="001409D8">
            <w:pPr>
              <w:spacing w:after="0" w:line="240" w:lineRule="auto"/>
              <w:rPr>
                <w:rFonts w:eastAsia="Times New Roman" w:cs="Times New Roman"/>
                <w:b/>
                <w:color w:val="000000"/>
                <w:lang w:eastAsia="fr-FR"/>
              </w:rPr>
            </w:pPr>
            <w:r>
              <w:rPr>
                <w:rFonts w:cs="Calibri"/>
                <w:b/>
                <w:color w:val="000000"/>
              </w:rPr>
              <w:t>D</w:t>
            </w:r>
            <w:r w:rsidR="00773913">
              <w:rPr>
                <w:rFonts w:cs="Calibri"/>
                <w:b/>
                <w:color w:val="000000"/>
              </w:rPr>
              <w:t>onnées Publiques</w:t>
            </w:r>
          </w:p>
        </w:tc>
        <w:tc>
          <w:tcPr>
            <w:tcW w:w="850" w:type="dxa"/>
            <w:tcBorders>
              <w:top w:val="single" w:sz="12" w:space="0" w:color="auto"/>
              <w:left w:val="single" w:sz="12" w:space="0" w:color="auto"/>
              <w:bottom w:val="single" w:sz="12" w:space="0" w:color="auto"/>
              <w:right w:val="single" w:sz="12" w:space="0" w:color="auto"/>
            </w:tcBorders>
            <w:vAlign w:val="center"/>
            <w:hideMark/>
          </w:tcPr>
          <w:p w14:paraId="14E8E95E" w14:textId="77777777" w:rsidR="00424A95" w:rsidRDefault="00424A95" w:rsidP="001409D8">
            <w:pPr>
              <w:rPr>
                <w:rFonts w:eastAsia="Times New Roman" w:cs="Times New Roman"/>
                <w:b/>
                <w:color w:val="000000"/>
                <w:lang w:eastAsia="fr-FR"/>
              </w:rPr>
            </w:pPr>
          </w:p>
        </w:tc>
        <w:tc>
          <w:tcPr>
            <w:tcW w:w="567" w:type="dxa"/>
            <w:tcBorders>
              <w:top w:val="single" w:sz="12" w:space="0" w:color="auto"/>
              <w:left w:val="single" w:sz="12" w:space="0" w:color="auto"/>
              <w:bottom w:val="single" w:sz="12" w:space="0" w:color="auto"/>
              <w:right w:val="single" w:sz="12" w:space="0" w:color="auto"/>
            </w:tcBorders>
            <w:noWrap/>
            <w:vAlign w:val="center"/>
            <w:hideMark/>
          </w:tcPr>
          <w:p w14:paraId="464D7BD0" w14:textId="77777777" w:rsidR="00424A95" w:rsidRDefault="00424A95" w:rsidP="001409D8">
            <w:pPr>
              <w:spacing w:after="0"/>
              <w:rPr>
                <w:sz w:val="20"/>
                <w:szCs w:val="20"/>
                <w:lang w:eastAsia="fr-FR"/>
              </w:rPr>
            </w:pPr>
          </w:p>
        </w:tc>
        <w:tc>
          <w:tcPr>
            <w:tcW w:w="426" w:type="dxa"/>
            <w:tcBorders>
              <w:top w:val="single" w:sz="12" w:space="0" w:color="auto"/>
              <w:left w:val="single" w:sz="12" w:space="0" w:color="auto"/>
              <w:bottom w:val="single" w:sz="12" w:space="0" w:color="auto"/>
              <w:right w:val="single" w:sz="12" w:space="0" w:color="auto"/>
            </w:tcBorders>
            <w:noWrap/>
            <w:vAlign w:val="bottom"/>
            <w:hideMark/>
          </w:tcPr>
          <w:p w14:paraId="2593AB0A"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2D155542"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5FA21044"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6756DEA9"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0AA8F10F"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0E348300"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0F925378"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7B98EC78"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6" w:type="dxa"/>
            <w:tcBorders>
              <w:top w:val="single" w:sz="12" w:space="0" w:color="auto"/>
              <w:left w:val="single" w:sz="12" w:space="0" w:color="auto"/>
              <w:bottom w:val="single" w:sz="12" w:space="0" w:color="auto"/>
              <w:right w:val="single" w:sz="12" w:space="0" w:color="auto"/>
            </w:tcBorders>
            <w:noWrap/>
            <w:vAlign w:val="bottom"/>
            <w:hideMark/>
          </w:tcPr>
          <w:p w14:paraId="34B4BB8B"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148B9865"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4A620673"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2D9E469D"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2C07D0E6"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6" w:type="dxa"/>
            <w:tcBorders>
              <w:top w:val="single" w:sz="12" w:space="0" w:color="auto"/>
              <w:left w:val="single" w:sz="12" w:space="0" w:color="auto"/>
              <w:bottom w:val="single" w:sz="12" w:space="0" w:color="auto"/>
              <w:right w:val="single" w:sz="12" w:space="0" w:color="auto"/>
            </w:tcBorders>
            <w:noWrap/>
            <w:vAlign w:val="bottom"/>
            <w:hideMark/>
          </w:tcPr>
          <w:p w14:paraId="42E5D58E"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063E85CD"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tcPr>
          <w:p w14:paraId="279FBB74"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35E70A89" w14:textId="77777777" w:rsidR="00424A95" w:rsidRDefault="00424A95"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tcPr>
          <w:p w14:paraId="7B8C08DA" w14:textId="77777777" w:rsidR="00424A95" w:rsidRDefault="00424A95"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463C804A"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tcPr>
          <w:p w14:paraId="0D3E27DC"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5743408A" w14:textId="77777777" w:rsidR="00424A95" w:rsidRDefault="00424A95" w:rsidP="001409D8">
            <w:pPr>
              <w:spacing w:after="0" w:line="240" w:lineRule="auto"/>
              <w:rPr>
                <w:rFonts w:eastAsia="Times New Roman" w:cs="Times New Roman"/>
                <w:color w:val="000000"/>
                <w:lang w:eastAsia="fr-FR"/>
              </w:rPr>
            </w:pPr>
          </w:p>
        </w:tc>
        <w:tc>
          <w:tcPr>
            <w:tcW w:w="426" w:type="dxa"/>
            <w:tcBorders>
              <w:top w:val="single" w:sz="12" w:space="0" w:color="auto"/>
              <w:left w:val="single" w:sz="12" w:space="0" w:color="auto"/>
              <w:bottom w:val="single" w:sz="12" w:space="0" w:color="auto"/>
              <w:right w:val="single" w:sz="12" w:space="0" w:color="auto"/>
            </w:tcBorders>
          </w:tcPr>
          <w:p w14:paraId="004BED0F"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33E7CDE9"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584E6925" w14:textId="1E4E10D0" w:rsidR="00424A95" w:rsidRDefault="00424A95" w:rsidP="001409D8">
            <w:pPr>
              <w:spacing w:after="0" w:line="240" w:lineRule="auto"/>
              <w:rPr>
                <w:rFonts w:eastAsia="Times New Roman" w:cs="Times New Roman"/>
                <w:color w:val="000000"/>
                <w:lang w:eastAsia="fr-FR"/>
              </w:rPr>
            </w:pPr>
          </w:p>
        </w:tc>
      </w:tr>
      <w:tr w:rsidR="00424A95" w14:paraId="52E71CEC" w14:textId="3AEC88B0" w:rsidTr="000C2CDA">
        <w:trPr>
          <w:trHeight w:val="315"/>
        </w:trPr>
        <w:tc>
          <w:tcPr>
            <w:tcW w:w="1915" w:type="dxa"/>
            <w:tcBorders>
              <w:top w:val="single" w:sz="12" w:space="0" w:color="auto"/>
              <w:left w:val="single" w:sz="12" w:space="0" w:color="auto"/>
              <w:bottom w:val="single" w:sz="12" w:space="0" w:color="auto"/>
              <w:right w:val="single" w:sz="12" w:space="0" w:color="auto"/>
            </w:tcBorders>
            <w:shd w:val="clear" w:color="auto" w:fill="FFFF00"/>
            <w:vAlign w:val="center"/>
            <w:hideMark/>
          </w:tcPr>
          <w:p w14:paraId="532D1BD7"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ACTIONS A COURT TERME</w:t>
            </w:r>
          </w:p>
        </w:tc>
        <w:tc>
          <w:tcPr>
            <w:tcW w:w="850" w:type="dxa"/>
            <w:tcBorders>
              <w:top w:val="single" w:sz="12" w:space="0" w:color="auto"/>
              <w:left w:val="single" w:sz="12" w:space="0" w:color="auto"/>
              <w:bottom w:val="single" w:sz="12" w:space="0" w:color="auto"/>
              <w:right w:val="single" w:sz="12" w:space="0" w:color="auto"/>
            </w:tcBorders>
            <w:vAlign w:val="center"/>
            <w:hideMark/>
          </w:tcPr>
          <w:p w14:paraId="0491E8E4" w14:textId="77777777" w:rsidR="00424A95" w:rsidRDefault="00424A95" w:rsidP="001409D8">
            <w:pPr>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noWrap/>
            <w:vAlign w:val="center"/>
            <w:hideMark/>
          </w:tcPr>
          <w:p w14:paraId="6CA027E0" w14:textId="77777777" w:rsidR="00424A95" w:rsidRDefault="00424A95" w:rsidP="001409D8">
            <w:pPr>
              <w:spacing w:after="0"/>
              <w:rPr>
                <w:sz w:val="20"/>
                <w:szCs w:val="20"/>
                <w:lang w:eastAsia="fr-FR"/>
              </w:rPr>
            </w:pPr>
          </w:p>
        </w:tc>
        <w:tc>
          <w:tcPr>
            <w:tcW w:w="426" w:type="dxa"/>
            <w:tcBorders>
              <w:top w:val="single" w:sz="12" w:space="0" w:color="auto"/>
              <w:left w:val="single" w:sz="12" w:space="0" w:color="auto"/>
              <w:bottom w:val="single" w:sz="12" w:space="0" w:color="auto"/>
              <w:right w:val="single" w:sz="12" w:space="0" w:color="auto"/>
            </w:tcBorders>
            <w:noWrap/>
            <w:vAlign w:val="bottom"/>
            <w:hideMark/>
          </w:tcPr>
          <w:p w14:paraId="5726AD4A"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01D2E5E6"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78B50B04"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54749775"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17E338DA"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0308B267"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7FB0DD86"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3F2F6228"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6" w:type="dxa"/>
            <w:tcBorders>
              <w:top w:val="single" w:sz="12" w:space="0" w:color="auto"/>
              <w:left w:val="single" w:sz="12" w:space="0" w:color="auto"/>
              <w:bottom w:val="single" w:sz="12" w:space="0" w:color="auto"/>
              <w:right w:val="single" w:sz="12" w:space="0" w:color="auto"/>
            </w:tcBorders>
            <w:noWrap/>
            <w:vAlign w:val="bottom"/>
            <w:hideMark/>
          </w:tcPr>
          <w:p w14:paraId="17D5687C"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71160940"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756DE2E5"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13A654C5"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6F0EBA7E"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6" w:type="dxa"/>
            <w:tcBorders>
              <w:top w:val="single" w:sz="12" w:space="0" w:color="auto"/>
              <w:left w:val="single" w:sz="12" w:space="0" w:color="auto"/>
              <w:bottom w:val="single" w:sz="12" w:space="0" w:color="auto"/>
              <w:right w:val="single" w:sz="12" w:space="0" w:color="auto"/>
            </w:tcBorders>
            <w:noWrap/>
            <w:vAlign w:val="bottom"/>
            <w:hideMark/>
          </w:tcPr>
          <w:p w14:paraId="23156511"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06D3093B"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tcPr>
          <w:p w14:paraId="6915DDEB"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06EF7723" w14:textId="77777777" w:rsidR="00424A95" w:rsidRDefault="00424A95"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tcPr>
          <w:p w14:paraId="2BBA295F" w14:textId="77777777" w:rsidR="00424A95" w:rsidRDefault="00424A95"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1FD1E912"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tcPr>
          <w:p w14:paraId="24ACAD38"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5C6E767F" w14:textId="77777777" w:rsidR="00424A95" w:rsidRDefault="00424A95" w:rsidP="001409D8">
            <w:pPr>
              <w:spacing w:after="0" w:line="240" w:lineRule="auto"/>
              <w:rPr>
                <w:rFonts w:eastAsia="Times New Roman" w:cs="Times New Roman"/>
                <w:color w:val="000000"/>
                <w:lang w:eastAsia="fr-FR"/>
              </w:rPr>
            </w:pPr>
          </w:p>
        </w:tc>
        <w:tc>
          <w:tcPr>
            <w:tcW w:w="426" w:type="dxa"/>
            <w:tcBorders>
              <w:top w:val="single" w:sz="12" w:space="0" w:color="auto"/>
              <w:left w:val="single" w:sz="12" w:space="0" w:color="auto"/>
              <w:bottom w:val="single" w:sz="12" w:space="0" w:color="auto"/>
              <w:right w:val="single" w:sz="12" w:space="0" w:color="auto"/>
            </w:tcBorders>
          </w:tcPr>
          <w:p w14:paraId="424900FA"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66BFC8AD"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7BDC3144" w14:textId="5ED32F05" w:rsidR="00424A95" w:rsidRDefault="00424A95" w:rsidP="001409D8">
            <w:pPr>
              <w:spacing w:after="0" w:line="240" w:lineRule="auto"/>
              <w:rPr>
                <w:rFonts w:eastAsia="Times New Roman" w:cs="Times New Roman"/>
                <w:color w:val="000000"/>
                <w:lang w:eastAsia="fr-FR"/>
              </w:rPr>
            </w:pPr>
          </w:p>
        </w:tc>
      </w:tr>
      <w:tr w:rsidR="000C2CDA" w14:paraId="2D27189E" w14:textId="28079512" w:rsidTr="000C2CDA">
        <w:trPr>
          <w:trHeight w:val="566"/>
        </w:trPr>
        <w:tc>
          <w:tcPr>
            <w:tcW w:w="1915" w:type="dxa"/>
            <w:tcBorders>
              <w:top w:val="single" w:sz="12" w:space="0" w:color="auto"/>
              <w:left w:val="single" w:sz="12" w:space="0" w:color="auto"/>
              <w:bottom w:val="single" w:sz="12" w:space="0" w:color="auto"/>
              <w:right w:val="single" w:sz="12" w:space="0" w:color="auto"/>
            </w:tcBorders>
            <w:vAlign w:val="center"/>
            <w:hideMark/>
          </w:tcPr>
          <w:p w14:paraId="074D6B38" w14:textId="0FE8D797" w:rsidR="00424A95" w:rsidRDefault="00773913" w:rsidP="001409D8">
            <w:pPr>
              <w:spacing w:after="0" w:line="240" w:lineRule="auto"/>
              <w:rPr>
                <w:rFonts w:eastAsia="Times New Roman" w:cs="Times New Roman"/>
                <w:color w:val="000000"/>
                <w:lang w:eastAsia="fr-FR"/>
              </w:rPr>
            </w:pPr>
            <w:r w:rsidRPr="00773913">
              <w:rPr>
                <w:szCs w:val="24"/>
              </w:rPr>
              <w:t>Mise en place d’un inventaire de donnée</w:t>
            </w:r>
            <w:r w:rsidR="00E67F47">
              <w:rPr>
                <w:szCs w:val="24"/>
              </w:rPr>
              <w:t>s</w:t>
            </w:r>
          </w:p>
        </w:tc>
        <w:tc>
          <w:tcPr>
            <w:tcW w:w="850" w:type="dxa"/>
            <w:tcBorders>
              <w:top w:val="single" w:sz="12" w:space="0" w:color="auto"/>
              <w:left w:val="single" w:sz="12" w:space="0" w:color="auto"/>
              <w:bottom w:val="single" w:sz="12" w:space="0" w:color="auto"/>
              <w:right w:val="single" w:sz="12" w:space="0" w:color="auto"/>
            </w:tcBorders>
            <w:vAlign w:val="center"/>
            <w:hideMark/>
          </w:tcPr>
          <w:p w14:paraId="401702E2" w14:textId="34F7336C" w:rsidR="00424A95" w:rsidRDefault="00E67F47" w:rsidP="001409D8">
            <w:pPr>
              <w:spacing w:after="0" w:line="240" w:lineRule="auto"/>
              <w:jc w:val="center"/>
              <w:rPr>
                <w:rFonts w:eastAsia="Times New Roman" w:cs="Times New Roman"/>
                <w:color w:val="000000"/>
                <w:lang w:eastAsia="fr-FR"/>
              </w:rPr>
            </w:pPr>
            <w:r>
              <w:rPr>
                <w:szCs w:val="24"/>
              </w:rPr>
              <w:t>UAE</w:t>
            </w:r>
          </w:p>
        </w:tc>
        <w:tc>
          <w:tcPr>
            <w:tcW w:w="567" w:type="dxa"/>
            <w:tcBorders>
              <w:top w:val="single" w:sz="12" w:space="0" w:color="auto"/>
              <w:left w:val="single" w:sz="12" w:space="0" w:color="auto"/>
              <w:bottom w:val="single" w:sz="12" w:space="0" w:color="auto"/>
              <w:right w:val="single" w:sz="12" w:space="0" w:color="auto"/>
            </w:tcBorders>
            <w:noWrap/>
            <w:vAlign w:val="center"/>
            <w:hideMark/>
          </w:tcPr>
          <w:p w14:paraId="4DD67324" w14:textId="1BD1F26A" w:rsidR="00424A95" w:rsidRDefault="00E67F47" w:rsidP="001409D8">
            <w:pPr>
              <w:rPr>
                <w:rFonts w:eastAsia="Times New Roman" w:cs="Times New Roman"/>
                <w:color w:val="000000"/>
                <w:lang w:eastAsia="fr-FR"/>
              </w:rPr>
            </w:pPr>
            <w:r>
              <w:rPr>
                <w:rFonts w:eastAsia="Times New Roman" w:cs="Times New Roman"/>
                <w:color w:val="000000"/>
                <w:lang w:eastAsia="fr-FR"/>
              </w:rPr>
              <w:t>25-35k</w:t>
            </w:r>
          </w:p>
        </w:tc>
        <w:tc>
          <w:tcPr>
            <w:tcW w:w="426"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hideMark/>
          </w:tcPr>
          <w:p w14:paraId="370BFA27"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hideMark/>
          </w:tcPr>
          <w:p w14:paraId="61888E58"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hideMark/>
          </w:tcPr>
          <w:p w14:paraId="2CECC15B"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shd w:val="clear" w:color="auto" w:fill="FFFFFF" w:themeFill="background1"/>
            <w:noWrap/>
            <w:vAlign w:val="bottom"/>
            <w:hideMark/>
          </w:tcPr>
          <w:p w14:paraId="11C29BA0"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shd w:val="clear" w:color="auto" w:fill="FFFFFF" w:themeFill="background1"/>
            <w:noWrap/>
            <w:vAlign w:val="bottom"/>
            <w:hideMark/>
          </w:tcPr>
          <w:p w14:paraId="71D8FB40"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shd w:val="clear" w:color="auto" w:fill="FFFFFF" w:themeFill="background1"/>
            <w:noWrap/>
            <w:vAlign w:val="bottom"/>
            <w:hideMark/>
          </w:tcPr>
          <w:p w14:paraId="2C2BB3F2"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shd w:val="clear" w:color="auto" w:fill="FFFFFF" w:themeFill="background1"/>
            <w:noWrap/>
            <w:vAlign w:val="bottom"/>
            <w:hideMark/>
          </w:tcPr>
          <w:p w14:paraId="23A321C2"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shd w:val="clear" w:color="auto" w:fill="FFFFFF" w:themeFill="background1"/>
            <w:noWrap/>
            <w:vAlign w:val="bottom"/>
            <w:hideMark/>
          </w:tcPr>
          <w:p w14:paraId="4452D6F5"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6" w:type="dxa"/>
            <w:tcBorders>
              <w:top w:val="single" w:sz="12" w:space="0" w:color="auto"/>
              <w:left w:val="single" w:sz="12" w:space="0" w:color="auto"/>
              <w:bottom w:val="single" w:sz="12" w:space="0" w:color="auto"/>
              <w:right w:val="single" w:sz="12" w:space="0" w:color="auto"/>
            </w:tcBorders>
            <w:noWrap/>
            <w:vAlign w:val="bottom"/>
            <w:hideMark/>
          </w:tcPr>
          <w:p w14:paraId="390D59C9"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503A3342"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63CD5081"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5696436C"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5DA568EA"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6" w:type="dxa"/>
            <w:tcBorders>
              <w:top w:val="single" w:sz="12" w:space="0" w:color="auto"/>
              <w:left w:val="single" w:sz="12" w:space="0" w:color="auto"/>
              <w:bottom w:val="single" w:sz="12" w:space="0" w:color="auto"/>
              <w:right w:val="single" w:sz="12" w:space="0" w:color="auto"/>
            </w:tcBorders>
            <w:noWrap/>
            <w:vAlign w:val="bottom"/>
            <w:hideMark/>
          </w:tcPr>
          <w:p w14:paraId="2DB6BB51"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563CD1E4"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tcPr>
          <w:p w14:paraId="764CEBE5"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0002A8C1" w14:textId="77777777" w:rsidR="00424A95" w:rsidRDefault="00424A95"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tcPr>
          <w:p w14:paraId="0110B1A2" w14:textId="77777777" w:rsidR="00424A95" w:rsidRDefault="00424A95"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787B4C32"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tcPr>
          <w:p w14:paraId="7001FDA3"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5C1C7EF2" w14:textId="77777777" w:rsidR="00424A95" w:rsidRDefault="00424A95" w:rsidP="001409D8">
            <w:pPr>
              <w:spacing w:after="0" w:line="240" w:lineRule="auto"/>
              <w:rPr>
                <w:rFonts w:eastAsia="Times New Roman" w:cs="Times New Roman"/>
                <w:color w:val="000000"/>
                <w:lang w:eastAsia="fr-FR"/>
              </w:rPr>
            </w:pPr>
          </w:p>
        </w:tc>
        <w:tc>
          <w:tcPr>
            <w:tcW w:w="426" w:type="dxa"/>
            <w:tcBorders>
              <w:top w:val="single" w:sz="12" w:space="0" w:color="auto"/>
              <w:left w:val="single" w:sz="12" w:space="0" w:color="auto"/>
              <w:bottom w:val="single" w:sz="12" w:space="0" w:color="auto"/>
              <w:right w:val="single" w:sz="12" w:space="0" w:color="auto"/>
            </w:tcBorders>
          </w:tcPr>
          <w:p w14:paraId="6453786D"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3901D7E4"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5506BC25" w14:textId="66828A55" w:rsidR="00424A95" w:rsidRDefault="00424A95" w:rsidP="001409D8">
            <w:pPr>
              <w:spacing w:after="0" w:line="240" w:lineRule="auto"/>
              <w:rPr>
                <w:rFonts w:eastAsia="Times New Roman" w:cs="Times New Roman"/>
                <w:color w:val="000000"/>
                <w:lang w:eastAsia="fr-FR"/>
              </w:rPr>
            </w:pPr>
          </w:p>
        </w:tc>
      </w:tr>
      <w:tr w:rsidR="00E67F47" w14:paraId="15DB0AF6" w14:textId="77777777" w:rsidTr="000C2CDA">
        <w:trPr>
          <w:trHeight w:val="566"/>
        </w:trPr>
        <w:tc>
          <w:tcPr>
            <w:tcW w:w="1915" w:type="dxa"/>
            <w:tcBorders>
              <w:top w:val="single" w:sz="12" w:space="0" w:color="auto"/>
              <w:left w:val="single" w:sz="12" w:space="0" w:color="auto"/>
              <w:bottom w:val="single" w:sz="12" w:space="0" w:color="auto"/>
              <w:right w:val="single" w:sz="12" w:space="0" w:color="auto"/>
            </w:tcBorders>
            <w:vAlign w:val="center"/>
          </w:tcPr>
          <w:p w14:paraId="2421E48F" w14:textId="0849AAE5" w:rsidR="00E67F47" w:rsidRPr="00E67F47" w:rsidRDefault="00E67F47" w:rsidP="001409D8">
            <w:pPr>
              <w:spacing w:after="0" w:line="240" w:lineRule="auto"/>
              <w:rPr>
                <w:szCs w:val="24"/>
              </w:rPr>
            </w:pPr>
            <w:r w:rsidRPr="00E67F47">
              <w:rPr>
                <w:szCs w:val="24"/>
              </w:rPr>
              <w:t xml:space="preserve">Mise en place d’un référentiel de données commun </w:t>
            </w:r>
          </w:p>
        </w:tc>
        <w:tc>
          <w:tcPr>
            <w:tcW w:w="850" w:type="dxa"/>
            <w:tcBorders>
              <w:top w:val="single" w:sz="12" w:space="0" w:color="auto"/>
              <w:left w:val="single" w:sz="12" w:space="0" w:color="auto"/>
              <w:bottom w:val="single" w:sz="12" w:space="0" w:color="auto"/>
              <w:right w:val="single" w:sz="12" w:space="0" w:color="auto"/>
            </w:tcBorders>
            <w:vAlign w:val="center"/>
          </w:tcPr>
          <w:p w14:paraId="434A132C" w14:textId="1EE176D3" w:rsidR="00E67F47" w:rsidRDefault="00E67F47" w:rsidP="001409D8">
            <w:pPr>
              <w:spacing w:after="0" w:line="240" w:lineRule="auto"/>
              <w:jc w:val="center"/>
              <w:rPr>
                <w:szCs w:val="24"/>
              </w:rPr>
            </w:pPr>
            <w:r>
              <w:rPr>
                <w:szCs w:val="24"/>
              </w:rPr>
              <w:t>CoPil (INS)</w:t>
            </w:r>
          </w:p>
        </w:tc>
        <w:tc>
          <w:tcPr>
            <w:tcW w:w="567" w:type="dxa"/>
            <w:tcBorders>
              <w:top w:val="single" w:sz="12" w:space="0" w:color="auto"/>
              <w:left w:val="single" w:sz="12" w:space="0" w:color="auto"/>
              <w:bottom w:val="single" w:sz="12" w:space="0" w:color="auto"/>
              <w:right w:val="single" w:sz="12" w:space="0" w:color="auto"/>
            </w:tcBorders>
            <w:noWrap/>
            <w:vAlign w:val="center"/>
          </w:tcPr>
          <w:p w14:paraId="0BCE54EE" w14:textId="77777777" w:rsidR="00E67F47" w:rsidRDefault="00E67F47" w:rsidP="001409D8">
            <w:pPr>
              <w:rPr>
                <w:rFonts w:eastAsia="Times New Roman" w:cs="Times New Roman"/>
                <w:color w:val="000000"/>
                <w:lang w:eastAsia="fr-FR"/>
              </w:rPr>
            </w:pPr>
          </w:p>
        </w:tc>
        <w:tc>
          <w:tcPr>
            <w:tcW w:w="426" w:type="dxa"/>
            <w:tcBorders>
              <w:top w:val="single" w:sz="12" w:space="0" w:color="auto"/>
              <w:left w:val="single" w:sz="12" w:space="0" w:color="auto"/>
              <w:bottom w:val="single" w:sz="12" w:space="0" w:color="auto"/>
              <w:right w:val="single" w:sz="12" w:space="0" w:color="auto"/>
            </w:tcBorders>
            <w:shd w:val="clear" w:color="auto" w:fill="FFFFFF" w:themeFill="background1"/>
            <w:noWrap/>
            <w:vAlign w:val="bottom"/>
          </w:tcPr>
          <w:p w14:paraId="059CEF0E" w14:textId="77777777" w:rsidR="00E67F47" w:rsidRDefault="00E67F47"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tcPr>
          <w:p w14:paraId="708B8F3A" w14:textId="77777777" w:rsidR="00E67F47" w:rsidRDefault="00E67F47"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tcPr>
          <w:p w14:paraId="3502852E" w14:textId="77777777" w:rsidR="00E67F47" w:rsidRDefault="00E67F47"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tcPr>
          <w:p w14:paraId="3CBBF8C6" w14:textId="77777777" w:rsidR="00E67F47" w:rsidRDefault="00E67F47"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tcPr>
          <w:p w14:paraId="12438D36" w14:textId="77777777" w:rsidR="00E67F47" w:rsidRDefault="00E67F47"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tcPr>
          <w:p w14:paraId="448D1CD2" w14:textId="77777777" w:rsidR="00E67F47" w:rsidRDefault="00E67F47"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tcPr>
          <w:p w14:paraId="749773B6" w14:textId="77777777" w:rsidR="00E67F47" w:rsidRDefault="00E67F47"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tcPr>
          <w:p w14:paraId="713EFBA2" w14:textId="77777777" w:rsidR="00E67F47" w:rsidRDefault="00E67F47" w:rsidP="001409D8">
            <w:pPr>
              <w:spacing w:after="0" w:line="240" w:lineRule="auto"/>
              <w:rPr>
                <w:rFonts w:eastAsia="Times New Roman" w:cs="Times New Roman"/>
                <w:color w:val="000000"/>
                <w:lang w:eastAsia="fr-FR"/>
              </w:rPr>
            </w:pPr>
          </w:p>
        </w:tc>
        <w:tc>
          <w:tcPr>
            <w:tcW w:w="426"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tcPr>
          <w:p w14:paraId="1848730F" w14:textId="77777777" w:rsidR="00E67F47" w:rsidRDefault="00E67F47"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tcPr>
          <w:p w14:paraId="2E72CE02" w14:textId="77777777" w:rsidR="00E67F47" w:rsidRDefault="00E67F47"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tcPr>
          <w:p w14:paraId="0555E81D" w14:textId="77777777" w:rsidR="00E67F47" w:rsidRDefault="00E67F47"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tcPr>
          <w:p w14:paraId="4BB65BA7" w14:textId="77777777" w:rsidR="00E67F47" w:rsidRDefault="00E67F47"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tcPr>
          <w:p w14:paraId="2DE6FB92" w14:textId="77777777" w:rsidR="00E67F47" w:rsidRDefault="00E67F47" w:rsidP="001409D8">
            <w:pPr>
              <w:spacing w:after="0" w:line="240" w:lineRule="auto"/>
              <w:rPr>
                <w:rFonts w:eastAsia="Times New Roman" w:cs="Times New Roman"/>
                <w:color w:val="000000"/>
                <w:lang w:eastAsia="fr-FR"/>
              </w:rPr>
            </w:pPr>
          </w:p>
        </w:tc>
        <w:tc>
          <w:tcPr>
            <w:tcW w:w="426" w:type="dxa"/>
            <w:tcBorders>
              <w:top w:val="single" w:sz="12" w:space="0" w:color="auto"/>
              <w:left w:val="single" w:sz="12" w:space="0" w:color="auto"/>
              <w:bottom w:val="single" w:sz="12" w:space="0" w:color="auto"/>
              <w:right w:val="single" w:sz="12" w:space="0" w:color="auto"/>
            </w:tcBorders>
            <w:noWrap/>
            <w:vAlign w:val="bottom"/>
          </w:tcPr>
          <w:p w14:paraId="114DEB15" w14:textId="77777777" w:rsidR="00E67F47" w:rsidRDefault="00E67F47"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noWrap/>
            <w:vAlign w:val="bottom"/>
          </w:tcPr>
          <w:p w14:paraId="75402C57" w14:textId="77777777" w:rsidR="00E67F47" w:rsidRDefault="00E67F47"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tcPr>
          <w:p w14:paraId="39F1E9C9" w14:textId="77777777" w:rsidR="00E67F47" w:rsidRDefault="00E67F47"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10A29851" w14:textId="77777777" w:rsidR="00E67F47" w:rsidRDefault="00E67F47"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tcPr>
          <w:p w14:paraId="48BA1C2A" w14:textId="77777777" w:rsidR="00E67F47" w:rsidRDefault="00E67F47"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noWrap/>
            <w:vAlign w:val="bottom"/>
          </w:tcPr>
          <w:p w14:paraId="26D74EB3" w14:textId="77777777" w:rsidR="00E67F47" w:rsidRDefault="00E67F47"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2CF301E5" w14:textId="77777777" w:rsidR="00E67F47" w:rsidRDefault="00E67F47"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019C7201" w14:textId="77777777" w:rsidR="00E67F47" w:rsidRDefault="00E67F47" w:rsidP="001409D8">
            <w:pPr>
              <w:spacing w:after="0" w:line="240" w:lineRule="auto"/>
              <w:rPr>
                <w:rFonts w:eastAsia="Times New Roman" w:cs="Times New Roman"/>
                <w:color w:val="000000"/>
                <w:lang w:eastAsia="fr-FR"/>
              </w:rPr>
            </w:pPr>
          </w:p>
        </w:tc>
        <w:tc>
          <w:tcPr>
            <w:tcW w:w="426" w:type="dxa"/>
            <w:tcBorders>
              <w:top w:val="single" w:sz="12" w:space="0" w:color="auto"/>
              <w:left w:val="single" w:sz="12" w:space="0" w:color="auto"/>
              <w:bottom w:val="single" w:sz="12" w:space="0" w:color="auto"/>
              <w:right w:val="single" w:sz="12" w:space="0" w:color="auto"/>
            </w:tcBorders>
          </w:tcPr>
          <w:p w14:paraId="69CE5299" w14:textId="77777777" w:rsidR="00E67F47" w:rsidRDefault="00E67F47"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2B43A74E" w14:textId="77777777" w:rsidR="00E67F47" w:rsidRDefault="00E67F47"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5D76139B" w14:textId="77777777" w:rsidR="00E67F47" w:rsidRDefault="00E67F47" w:rsidP="001409D8">
            <w:pPr>
              <w:spacing w:after="0" w:line="240" w:lineRule="auto"/>
              <w:rPr>
                <w:rFonts w:eastAsia="Times New Roman" w:cs="Times New Roman"/>
                <w:color w:val="000000"/>
                <w:lang w:eastAsia="fr-FR"/>
              </w:rPr>
            </w:pPr>
          </w:p>
        </w:tc>
      </w:tr>
      <w:tr w:rsidR="00E67F47" w14:paraId="0A74400C" w14:textId="77777777" w:rsidTr="00A113C0">
        <w:trPr>
          <w:trHeight w:val="1008"/>
        </w:trPr>
        <w:tc>
          <w:tcPr>
            <w:tcW w:w="1915" w:type="dxa"/>
            <w:tcBorders>
              <w:top w:val="single" w:sz="12" w:space="0" w:color="auto"/>
              <w:left w:val="single" w:sz="12" w:space="0" w:color="auto"/>
              <w:bottom w:val="single" w:sz="12" w:space="0" w:color="auto"/>
              <w:right w:val="single" w:sz="12" w:space="0" w:color="auto"/>
            </w:tcBorders>
            <w:vAlign w:val="center"/>
          </w:tcPr>
          <w:p w14:paraId="29E4F89B" w14:textId="4C42E156" w:rsidR="00E67F47" w:rsidRPr="00E67F47" w:rsidRDefault="00E67F47" w:rsidP="001409D8">
            <w:pPr>
              <w:spacing w:after="0" w:line="240" w:lineRule="auto"/>
              <w:rPr>
                <w:szCs w:val="24"/>
              </w:rPr>
            </w:pPr>
            <w:r>
              <w:rPr>
                <w:szCs w:val="24"/>
              </w:rPr>
              <w:t>Cas d’usage internes</w:t>
            </w:r>
          </w:p>
        </w:tc>
        <w:tc>
          <w:tcPr>
            <w:tcW w:w="850" w:type="dxa"/>
            <w:tcBorders>
              <w:top w:val="single" w:sz="12" w:space="0" w:color="auto"/>
              <w:left w:val="single" w:sz="12" w:space="0" w:color="auto"/>
              <w:bottom w:val="single" w:sz="12" w:space="0" w:color="auto"/>
              <w:right w:val="single" w:sz="12" w:space="0" w:color="auto"/>
            </w:tcBorders>
            <w:vAlign w:val="center"/>
          </w:tcPr>
          <w:p w14:paraId="50222EC5" w14:textId="36F77581" w:rsidR="00E67F47" w:rsidRDefault="00E67F47" w:rsidP="001409D8">
            <w:pPr>
              <w:spacing w:after="0" w:line="240" w:lineRule="auto"/>
              <w:jc w:val="center"/>
              <w:rPr>
                <w:szCs w:val="24"/>
              </w:rPr>
            </w:pPr>
            <w:r>
              <w:rPr>
                <w:szCs w:val="24"/>
              </w:rPr>
              <w:t>CoPil+ équipe Tech.</w:t>
            </w:r>
          </w:p>
        </w:tc>
        <w:tc>
          <w:tcPr>
            <w:tcW w:w="567" w:type="dxa"/>
            <w:tcBorders>
              <w:top w:val="single" w:sz="12" w:space="0" w:color="auto"/>
              <w:left w:val="single" w:sz="12" w:space="0" w:color="auto"/>
              <w:bottom w:val="single" w:sz="12" w:space="0" w:color="auto"/>
              <w:right w:val="single" w:sz="12" w:space="0" w:color="auto"/>
            </w:tcBorders>
            <w:noWrap/>
            <w:vAlign w:val="center"/>
          </w:tcPr>
          <w:p w14:paraId="4A691AF3" w14:textId="720A3372" w:rsidR="00E67F47" w:rsidRDefault="000C2CDA" w:rsidP="001409D8">
            <w:pPr>
              <w:rPr>
                <w:rFonts w:eastAsia="Times New Roman" w:cs="Times New Roman"/>
                <w:color w:val="000000"/>
                <w:lang w:eastAsia="fr-FR"/>
              </w:rPr>
            </w:pPr>
            <w:r>
              <w:rPr>
                <w:rFonts w:eastAsia="Times New Roman" w:cs="Times New Roman"/>
                <w:color w:val="000000"/>
                <w:lang w:eastAsia="fr-FR"/>
              </w:rPr>
              <w:t>10- 20k /cas</w:t>
            </w:r>
          </w:p>
        </w:tc>
        <w:tc>
          <w:tcPr>
            <w:tcW w:w="426" w:type="dxa"/>
            <w:tcBorders>
              <w:top w:val="single" w:sz="12" w:space="0" w:color="auto"/>
              <w:left w:val="single" w:sz="12" w:space="0" w:color="auto"/>
              <w:bottom w:val="single" w:sz="12" w:space="0" w:color="auto"/>
              <w:right w:val="single" w:sz="12" w:space="0" w:color="auto"/>
            </w:tcBorders>
            <w:shd w:val="clear" w:color="auto" w:fill="FFFFFF" w:themeFill="background1"/>
            <w:noWrap/>
            <w:vAlign w:val="bottom"/>
          </w:tcPr>
          <w:p w14:paraId="3D3BBEE2" w14:textId="77777777" w:rsidR="00E67F47" w:rsidRDefault="00E67F47"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shd w:val="clear" w:color="auto" w:fill="FFFFFF" w:themeFill="background1"/>
            <w:noWrap/>
            <w:vAlign w:val="bottom"/>
          </w:tcPr>
          <w:p w14:paraId="3816BF71" w14:textId="77777777" w:rsidR="00E67F47" w:rsidRDefault="00E67F47"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shd w:val="clear" w:color="auto" w:fill="FFFFFF" w:themeFill="background1"/>
            <w:noWrap/>
            <w:vAlign w:val="bottom"/>
          </w:tcPr>
          <w:p w14:paraId="5BBB15A2" w14:textId="77777777" w:rsidR="00E67F47" w:rsidRDefault="00E67F47"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shd w:val="clear" w:color="auto" w:fill="FFFFFF" w:themeFill="background1"/>
            <w:noWrap/>
            <w:vAlign w:val="bottom"/>
          </w:tcPr>
          <w:p w14:paraId="3339E1E9" w14:textId="77777777" w:rsidR="00E67F47" w:rsidRDefault="00E67F47"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shd w:val="clear" w:color="auto" w:fill="FFFFFF" w:themeFill="background1"/>
            <w:noWrap/>
            <w:vAlign w:val="bottom"/>
          </w:tcPr>
          <w:p w14:paraId="4E9C7D5D" w14:textId="77777777" w:rsidR="00E67F47" w:rsidRDefault="00E67F47"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shd w:val="clear" w:color="auto" w:fill="FFFFFF" w:themeFill="background1"/>
            <w:noWrap/>
            <w:vAlign w:val="bottom"/>
          </w:tcPr>
          <w:p w14:paraId="64822AD4" w14:textId="77777777" w:rsidR="00E67F47" w:rsidRDefault="00E67F47"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shd w:val="clear" w:color="auto" w:fill="FFFFFF" w:themeFill="background1"/>
            <w:noWrap/>
            <w:vAlign w:val="bottom"/>
          </w:tcPr>
          <w:p w14:paraId="70B2033E" w14:textId="77777777" w:rsidR="00E67F47" w:rsidRDefault="00E67F47"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tcPr>
          <w:p w14:paraId="783367DE" w14:textId="77777777" w:rsidR="00E67F47" w:rsidRDefault="00E67F47" w:rsidP="001409D8">
            <w:pPr>
              <w:spacing w:after="0" w:line="240" w:lineRule="auto"/>
              <w:rPr>
                <w:rFonts w:eastAsia="Times New Roman" w:cs="Times New Roman"/>
                <w:color w:val="000000"/>
                <w:lang w:eastAsia="fr-FR"/>
              </w:rPr>
            </w:pPr>
          </w:p>
        </w:tc>
        <w:tc>
          <w:tcPr>
            <w:tcW w:w="426"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tcPr>
          <w:p w14:paraId="6724A3B6" w14:textId="77777777" w:rsidR="00E67F47" w:rsidRDefault="00E67F47"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tcPr>
          <w:p w14:paraId="03A964E6" w14:textId="77777777" w:rsidR="00E67F47" w:rsidRDefault="00E67F47"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tcPr>
          <w:p w14:paraId="14906EA0" w14:textId="77777777" w:rsidR="00E67F47" w:rsidRDefault="00E67F47"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tcPr>
          <w:p w14:paraId="03F0A3E8" w14:textId="77777777" w:rsidR="00E67F47" w:rsidRDefault="00E67F47"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tcPr>
          <w:p w14:paraId="41CC9C1A" w14:textId="77777777" w:rsidR="00E67F47" w:rsidRDefault="00E67F47" w:rsidP="001409D8">
            <w:pPr>
              <w:spacing w:after="0" w:line="240" w:lineRule="auto"/>
              <w:rPr>
                <w:rFonts w:eastAsia="Times New Roman" w:cs="Times New Roman"/>
                <w:color w:val="000000"/>
                <w:lang w:eastAsia="fr-FR"/>
              </w:rPr>
            </w:pPr>
          </w:p>
        </w:tc>
        <w:tc>
          <w:tcPr>
            <w:tcW w:w="426"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tcPr>
          <w:p w14:paraId="618D5A59" w14:textId="77777777" w:rsidR="00E67F47" w:rsidRDefault="00E67F47"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tcPr>
          <w:p w14:paraId="06CFFE6C" w14:textId="77777777" w:rsidR="00E67F47" w:rsidRDefault="00E67F47"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shd w:val="clear" w:color="auto" w:fill="E36C0A" w:themeFill="accent6" w:themeFillShade="BF"/>
          </w:tcPr>
          <w:p w14:paraId="746032E6" w14:textId="77777777" w:rsidR="00E67F47" w:rsidRDefault="00E67F47"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shd w:val="clear" w:color="auto" w:fill="E36C0A" w:themeFill="accent6" w:themeFillShade="BF"/>
          </w:tcPr>
          <w:p w14:paraId="298D8E34" w14:textId="77777777" w:rsidR="00E67F47" w:rsidRDefault="00E67F47"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tcPr>
          <w:p w14:paraId="3695230E" w14:textId="77777777" w:rsidR="00E67F47" w:rsidRDefault="00E67F47"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noWrap/>
            <w:vAlign w:val="bottom"/>
          </w:tcPr>
          <w:p w14:paraId="126E927A" w14:textId="77777777" w:rsidR="00E67F47" w:rsidRDefault="00E67F47"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36F60340" w14:textId="77777777" w:rsidR="00E67F47" w:rsidRDefault="00E67F47"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16E7792E" w14:textId="77777777" w:rsidR="00E67F47" w:rsidRDefault="00E67F47" w:rsidP="001409D8">
            <w:pPr>
              <w:spacing w:after="0" w:line="240" w:lineRule="auto"/>
              <w:rPr>
                <w:rFonts w:eastAsia="Times New Roman" w:cs="Times New Roman"/>
                <w:color w:val="000000"/>
                <w:lang w:eastAsia="fr-FR"/>
              </w:rPr>
            </w:pPr>
          </w:p>
        </w:tc>
        <w:tc>
          <w:tcPr>
            <w:tcW w:w="426" w:type="dxa"/>
            <w:tcBorders>
              <w:top w:val="single" w:sz="12" w:space="0" w:color="auto"/>
              <w:left w:val="single" w:sz="12" w:space="0" w:color="auto"/>
              <w:bottom w:val="single" w:sz="12" w:space="0" w:color="auto"/>
              <w:right w:val="single" w:sz="12" w:space="0" w:color="auto"/>
            </w:tcBorders>
          </w:tcPr>
          <w:p w14:paraId="4920A5C3" w14:textId="77777777" w:rsidR="00E67F47" w:rsidRDefault="00E67F47"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048411B2" w14:textId="77777777" w:rsidR="00E67F47" w:rsidRDefault="00E67F47"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59A783B3" w14:textId="77777777" w:rsidR="00E67F47" w:rsidRDefault="00E67F47" w:rsidP="001409D8">
            <w:pPr>
              <w:spacing w:after="0" w:line="240" w:lineRule="auto"/>
              <w:rPr>
                <w:rFonts w:eastAsia="Times New Roman" w:cs="Times New Roman"/>
                <w:color w:val="000000"/>
                <w:lang w:eastAsia="fr-FR"/>
              </w:rPr>
            </w:pPr>
          </w:p>
        </w:tc>
      </w:tr>
      <w:tr w:rsidR="00424A95" w14:paraId="6606B03B" w14:textId="6B59AF24" w:rsidTr="000C2CDA">
        <w:trPr>
          <w:trHeight w:val="315"/>
        </w:trPr>
        <w:tc>
          <w:tcPr>
            <w:tcW w:w="1915" w:type="dxa"/>
            <w:tcBorders>
              <w:top w:val="single" w:sz="12" w:space="0" w:color="auto"/>
              <w:left w:val="single" w:sz="12" w:space="0" w:color="auto"/>
              <w:bottom w:val="single" w:sz="12" w:space="0" w:color="auto"/>
              <w:right w:val="single" w:sz="12" w:space="0" w:color="auto"/>
            </w:tcBorders>
            <w:shd w:val="clear" w:color="auto" w:fill="8DB4E2"/>
            <w:vAlign w:val="center"/>
            <w:hideMark/>
          </w:tcPr>
          <w:p w14:paraId="4FE83472"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xml:space="preserve">ACTIONS A MOYEN TERME </w:t>
            </w:r>
          </w:p>
        </w:tc>
        <w:tc>
          <w:tcPr>
            <w:tcW w:w="850" w:type="dxa"/>
            <w:tcBorders>
              <w:top w:val="single" w:sz="12" w:space="0" w:color="auto"/>
              <w:left w:val="single" w:sz="12" w:space="0" w:color="auto"/>
              <w:bottom w:val="single" w:sz="12" w:space="0" w:color="auto"/>
              <w:right w:val="single" w:sz="12" w:space="0" w:color="auto"/>
            </w:tcBorders>
            <w:vAlign w:val="center"/>
            <w:hideMark/>
          </w:tcPr>
          <w:p w14:paraId="1A30EB75" w14:textId="77777777" w:rsidR="00424A95" w:rsidRDefault="00424A95" w:rsidP="001409D8">
            <w:pPr>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noWrap/>
            <w:vAlign w:val="center"/>
            <w:hideMark/>
          </w:tcPr>
          <w:p w14:paraId="61C5AC83" w14:textId="77777777" w:rsidR="00424A95" w:rsidRDefault="00424A95" w:rsidP="001409D8">
            <w:pPr>
              <w:spacing w:after="0"/>
              <w:rPr>
                <w:sz w:val="20"/>
                <w:szCs w:val="20"/>
                <w:lang w:eastAsia="fr-FR"/>
              </w:rPr>
            </w:pPr>
          </w:p>
        </w:tc>
        <w:tc>
          <w:tcPr>
            <w:tcW w:w="426" w:type="dxa"/>
            <w:tcBorders>
              <w:top w:val="single" w:sz="12" w:space="0" w:color="auto"/>
              <w:left w:val="single" w:sz="12" w:space="0" w:color="auto"/>
              <w:bottom w:val="single" w:sz="12" w:space="0" w:color="auto"/>
              <w:right w:val="single" w:sz="12" w:space="0" w:color="auto"/>
            </w:tcBorders>
            <w:noWrap/>
            <w:vAlign w:val="bottom"/>
            <w:hideMark/>
          </w:tcPr>
          <w:p w14:paraId="77780297"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5208555D"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67EA8ED4"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2C765560"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52B60F1A"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2D6E405F"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79A853E0"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49A6B0A2"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6" w:type="dxa"/>
            <w:tcBorders>
              <w:top w:val="single" w:sz="12" w:space="0" w:color="auto"/>
              <w:left w:val="single" w:sz="12" w:space="0" w:color="auto"/>
              <w:bottom w:val="single" w:sz="12" w:space="0" w:color="auto"/>
              <w:right w:val="single" w:sz="12" w:space="0" w:color="auto"/>
            </w:tcBorders>
            <w:noWrap/>
            <w:vAlign w:val="bottom"/>
            <w:hideMark/>
          </w:tcPr>
          <w:p w14:paraId="1AD32539"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3147C48A"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294BAAE4"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56E7AE9D"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1122A94F"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6" w:type="dxa"/>
            <w:tcBorders>
              <w:top w:val="single" w:sz="12" w:space="0" w:color="auto"/>
              <w:left w:val="single" w:sz="12" w:space="0" w:color="auto"/>
              <w:bottom w:val="single" w:sz="12" w:space="0" w:color="auto"/>
              <w:right w:val="single" w:sz="12" w:space="0" w:color="auto"/>
            </w:tcBorders>
            <w:noWrap/>
            <w:vAlign w:val="bottom"/>
            <w:hideMark/>
          </w:tcPr>
          <w:p w14:paraId="79C6013B"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3C2A23DA"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tcPr>
          <w:p w14:paraId="37AE3FEE"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32D77038" w14:textId="77777777" w:rsidR="00424A95" w:rsidRDefault="00424A95"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tcPr>
          <w:p w14:paraId="0DF8D742" w14:textId="77777777" w:rsidR="00424A95" w:rsidRDefault="00424A95"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1E66BA52"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tcPr>
          <w:p w14:paraId="2F259C1C"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26F8AF27" w14:textId="77777777" w:rsidR="00424A95" w:rsidRDefault="00424A95" w:rsidP="001409D8">
            <w:pPr>
              <w:spacing w:after="0" w:line="240" w:lineRule="auto"/>
              <w:rPr>
                <w:rFonts w:eastAsia="Times New Roman" w:cs="Times New Roman"/>
                <w:color w:val="000000"/>
                <w:lang w:eastAsia="fr-FR"/>
              </w:rPr>
            </w:pPr>
          </w:p>
        </w:tc>
        <w:tc>
          <w:tcPr>
            <w:tcW w:w="426" w:type="dxa"/>
            <w:tcBorders>
              <w:top w:val="single" w:sz="12" w:space="0" w:color="auto"/>
              <w:left w:val="single" w:sz="12" w:space="0" w:color="auto"/>
              <w:bottom w:val="single" w:sz="12" w:space="0" w:color="auto"/>
              <w:right w:val="single" w:sz="12" w:space="0" w:color="auto"/>
            </w:tcBorders>
          </w:tcPr>
          <w:p w14:paraId="3B50B1A1"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79427FDB"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6EA2F6A2" w14:textId="16C406B8" w:rsidR="00424A95" w:rsidRDefault="00424A95" w:rsidP="001409D8">
            <w:pPr>
              <w:spacing w:after="0" w:line="240" w:lineRule="auto"/>
              <w:rPr>
                <w:rFonts w:eastAsia="Times New Roman" w:cs="Times New Roman"/>
                <w:color w:val="000000"/>
                <w:lang w:eastAsia="fr-FR"/>
              </w:rPr>
            </w:pPr>
          </w:p>
        </w:tc>
      </w:tr>
      <w:tr w:rsidR="000C2CDA" w14:paraId="405CC94A" w14:textId="37B5E9B4" w:rsidTr="000C2CDA">
        <w:trPr>
          <w:trHeight w:val="1025"/>
        </w:trPr>
        <w:tc>
          <w:tcPr>
            <w:tcW w:w="1915" w:type="dxa"/>
            <w:tcBorders>
              <w:top w:val="single" w:sz="12" w:space="0" w:color="auto"/>
              <w:left w:val="single" w:sz="12" w:space="0" w:color="auto"/>
              <w:bottom w:val="single" w:sz="12" w:space="0" w:color="auto"/>
              <w:right w:val="single" w:sz="12" w:space="0" w:color="auto"/>
            </w:tcBorders>
            <w:vAlign w:val="center"/>
            <w:hideMark/>
          </w:tcPr>
          <w:p w14:paraId="29A3BC79" w14:textId="526D4935" w:rsidR="00424A95" w:rsidRDefault="00424A95" w:rsidP="001409D8">
            <w:pPr>
              <w:spacing w:after="0" w:line="240" w:lineRule="auto"/>
              <w:rPr>
                <w:rFonts w:eastAsia="Times New Roman" w:cs="Times New Roman"/>
                <w:color w:val="000000"/>
                <w:lang w:eastAsia="fr-FR"/>
              </w:rPr>
            </w:pPr>
            <w:r>
              <w:rPr>
                <w:szCs w:val="24"/>
              </w:rPr>
              <w:t xml:space="preserve">Mise en place de processus automatisés de publication </w:t>
            </w:r>
          </w:p>
        </w:tc>
        <w:tc>
          <w:tcPr>
            <w:tcW w:w="850" w:type="dxa"/>
            <w:tcBorders>
              <w:top w:val="single" w:sz="12" w:space="0" w:color="auto"/>
              <w:left w:val="single" w:sz="12" w:space="0" w:color="auto"/>
              <w:bottom w:val="single" w:sz="12" w:space="0" w:color="auto"/>
              <w:right w:val="single" w:sz="12" w:space="0" w:color="auto"/>
            </w:tcBorders>
            <w:vAlign w:val="center"/>
            <w:hideMark/>
          </w:tcPr>
          <w:p w14:paraId="09823D29" w14:textId="7203C98C" w:rsidR="00424A95" w:rsidRDefault="00424A95" w:rsidP="001409D8">
            <w:pPr>
              <w:spacing w:after="0" w:line="240" w:lineRule="auto"/>
              <w:jc w:val="center"/>
              <w:rPr>
                <w:rFonts w:eastAsia="Times New Roman" w:cs="Times New Roman"/>
                <w:color w:val="000000"/>
                <w:lang w:val="en-US" w:eastAsia="fr-FR"/>
              </w:rPr>
            </w:pPr>
            <w:r>
              <w:rPr>
                <w:szCs w:val="24"/>
                <w:lang w:val="en-US"/>
              </w:rPr>
              <w:t>C</w:t>
            </w:r>
            <w:r w:rsidR="000C2CDA">
              <w:rPr>
                <w:szCs w:val="24"/>
                <w:lang w:val="en-US"/>
              </w:rPr>
              <w:t>o</w:t>
            </w:r>
            <w:r>
              <w:rPr>
                <w:szCs w:val="24"/>
                <w:lang w:val="en-US"/>
              </w:rPr>
              <w:t>P</w:t>
            </w:r>
            <w:r w:rsidR="000C2CDA">
              <w:rPr>
                <w:szCs w:val="24"/>
                <w:lang w:val="en-US"/>
              </w:rPr>
              <w:t>il</w:t>
            </w:r>
          </w:p>
        </w:tc>
        <w:tc>
          <w:tcPr>
            <w:tcW w:w="567" w:type="dxa"/>
            <w:tcBorders>
              <w:top w:val="single" w:sz="12" w:space="0" w:color="auto"/>
              <w:left w:val="single" w:sz="12" w:space="0" w:color="auto"/>
              <w:bottom w:val="single" w:sz="12" w:space="0" w:color="auto"/>
              <w:right w:val="single" w:sz="12" w:space="0" w:color="auto"/>
            </w:tcBorders>
            <w:noWrap/>
            <w:vAlign w:val="center"/>
            <w:hideMark/>
          </w:tcPr>
          <w:p w14:paraId="64710125" w14:textId="77777777" w:rsidR="00424A95" w:rsidRDefault="00424A95" w:rsidP="001409D8">
            <w:pPr>
              <w:rPr>
                <w:rFonts w:eastAsia="Times New Roman" w:cs="Times New Roman"/>
                <w:color w:val="000000"/>
                <w:lang w:val="en-US" w:eastAsia="fr-FR"/>
              </w:rPr>
            </w:pPr>
          </w:p>
        </w:tc>
        <w:tc>
          <w:tcPr>
            <w:tcW w:w="426" w:type="dxa"/>
            <w:tcBorders>
              <w:top w:val="single" w:sz="12" w:space="0" w:color="auto"/>
              <w:left w:val="single" w:sz="12" w:space="0" w:color="auto"/>
              <w:bottom w:val="single" w:sz="12" w:space="0" w:color="auto"/>
              <w:right w:val="single" w:sz="12" w:space="0" w:color="auto"/>
            </w:tcBorders>
            <w:noWrap/>
            <w:vAlign w:val="bottom"/>
            <w:hideMark/>
          </w:tcPr>
          <w:p w14:paraId="5E45CB92" w14:textId="77777777" w:rsidR="00424A95" w:rsidRDefault="00424A95" w:rsidP="001409D8">
            <w:pPr>
              <w:spacing w:after="0" w:line="240" w:lineRule="auto"/>
              <w:rPr>
                <w:rFonts w:eastAsia="Times New Roman" w:cs="Times New Roman"/>
                <w:color w:val="000000"/>
                <w:lang w:val="en-US" w:eastAsia="fr-FR"/>
              </w:rPr>
            </w:pPr>
            <w:r>
              <w:rPr>
                <w:rFonts w:eastAsia="Times New Roman" w:cs="Times New Roman"/>
                <w:color w:val="000000"/>
                <w:lang w:val="en-US"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369F85CB" w14:textId="77777777" w:rsidR="00424A95" w:rsidRDefault="00424A95" w:rsidP="001409D8">
            <w:pPr>
              <w:spacing w:after="0" w:line="240" w:lineRule="auto"/>
              <w:rPr>
                <w:rFonts w:eastAsia="Times New Roman" w:cs="Times New Roman"/>
                <w:color w:val="000000"/>
                <w:lang w:val="en-US" w:eastAsia="fr-FR"/>
              </w:rPr>
            </w:pPr>
            <w:r>
              <w:rPr>
                <w:rFonts w:eastAsia="Times New Roman" w:cs="Times New Roman"/>
                <w:color w:val="000000"/>
                <w:lang w:val="en-US"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47A12026" w14:textId="77777777" w:rsidR="00424A95" w:rsidRDefault="00424A95" w:rsidP="001409D8">
            <w:pPr>
              <w:spacing w:after="0" w:line="240" w:lineRule="auto"/>
              <w:rPr>
                <w:rFonts w:eastAsia="Times New Roman" w:cs="Times New Roman"/>
                <w:color w:val="000000"/>
                <w:lang w:val="en-US" w:eastAsia="fr-FR"/>
              </w:rPr>
            </w:pPr>
            <w:r>
              <w:rPr>
                <w:rFonts w:eastAsia="Times New Roman" w:cs="Times New Roman"/>
                <w:color w:val="000000"/>
                <w:lang w:val="en-US"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0B5B353D" w14:textId="77777777" w:rsidR="00424A95" w:rsidRDefault="00424A95" w:rsidP="001409D8">
            <w:pPr>
              <w:spacing w:after="0" w:line="240" w:lineRule="auto"/>
              <w:rPr>
                <w:rFonts w:eastAsia="Times New Roman" w:cs="Times New Roman"/>
                <w:color w:val="000000"/>
                <w:lang w:val="en-US" w:eastAsia="fr-FR"/>
              </w:rPr>
            </w:pPr>
            <w:r>
              <w:rPr>
                <w:rFonts w:eastAsia="Times New Roman" w:cs="Times New Roman"/>
                <w:color w:val="000000"/>
                <w:lang w:val="en-US"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45161A0F" w14:textId="77777777" w:rsidR="00424A95" w:rsidRDefault="00424A95" w:rsidP="001409D8">
            <w:pPr>
              <w:spacing w:after="0" w:line="240" w:lineRule="auto"/>
              <w:rPr>
                <w:rFonts w:eastAsia="Times New Roman" w:cs="Times New Roman"/>
                <w:color w:val="000000"/>
                <w:lang w:val="en-US" w:eastAsia="fr-FR"/>
              </w:rPr>
            </w:pPr>
            <w:r>
              <w:rPr>
                <w:rFonts w:eastAsia="Times New Roman" w:cs="Times New Roman"/>
                <w:color w:val="000000"/>
                <w:lang w:val="en-US"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7BF2946D" w14:textId="77777777" w:rsidR="00424A95" w:rsidRDefault="00424A95" w:rsidP="001409D8">
            <w:pPr>
              <w:spacing w:after="0" w:line="240" w:lineRule="auto"/>
              <w:rPr>
                <w:rFonts w:eastAsia="Times New Roman" w:cs="Times New Roman"/>
                <w:color w:val="000000"/>
                <w:lang w:val="en-US" w:eastAsia="fr-FR"/>
              </w:rPr>
            </w:pPr>
            <w:r>
              <w:rPr>
                <w:rFonts w:eastAsia="Times New Roman" w:cs="Times New Roman"/>
                <w:color w:val="000000"/>
                <w:lang w:val="en-US"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243517C7" w14:textId="77777777" w:rsidR="00424A95" w:rsidRDefault="00424A95" w:rsidP="001409D8">
            <w:pPr>
              <w:spacing w:after="0" w:line="240" w:lineRule="auto"/>
              <w:rPr>
                <w:rFonts w:eastAsia="Times New Roman" w:cs="Times New Roman"/>
                <w:color w:val="000000"/>
                <w:lang w:val="en-US" w:eastAsia="fr-FR"/>
              </w:rPr>
            </w:pPr>
            <w:r>
              <w:rPr>
                <w:rFonts w:eastAsia="Times New Roman" w:cs="Times New Roman"/>
                <w:color w:val="000000"/>
                <w:lang w:val="en-US"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23DE02A3" w14:textId="77777777" w:rsidR="00424A95" w:rsidRDefault="00424A95" w:rsidP="001409D8">
            <w:pPr>
              <w:spacing w:after="0" w:line="240" w:lineRule="auto"/>
              <w:rPr>
                <w:rFonts w:eastAsia="Times New Roman" w:cs="Times New Roman"/>
                <w:color w:val="000000"/>
                <w:lang w:val="en-US" w:eastAsia="fr-FR"/>
              </w:rPr>
            </w:pPr>
            <w:r>
              <w:rPr>
                <w:rFonts w:eastAsia="Times New Roman" w:cs="Times New Roman"/>
                <w:color w:val="000000"/>
                <w:lang w:val="en-US" w:eastAsia="fr-FR"/>
              </w:rPr>
              <w:t> </w:t>
            </w:r>
          </w:p>
        </w:tc>
        <w:tc>
          <w:tcPr>
            <w:tcW w:w="426" w:type="dxa"/>
            <w:tcBorders>
              <w:top w:val="single" w:sz="12" w:space="0" w:color="auto"/>
              <w:left w:val="single" w:sz="12" w:space="0" w:color="auto"/>
              <w:bottom w:val="single" w:sz="12" w:space="0" w:color="auto"/>
              <w:right w:val="single" w:sz="12" w:space="0" w:color="auto"/>
            </w:tcBorders>
            <w:shd w:val="clear" w:color="auto" w:fill="FFFFFF" w:themeFill="background1"/>
            <w:noWrap/>
            <w:vAlign w:val="bottom"/>
            <w:hideMark/>
          </w:tcPr>
          <w:p w14:paraId="1717FCC9" w14:textId="77777777" w:rsidR="00424A95" w:rsidRDefault="00424A95" w:rsidP="001409D8">
            <w:pPr>
              <w:spacing w:after="0" w:line="240" w:lineRule="auto"/>
              <w:rPr>
                <w:rFonts w:eastAsia="Times New Roman" w:cs="Times New Roman"/>
                <w:color w:val="000000"/>
                <w:lang w:val="en-US" w:eastAsia="fr-FR"/>
              </w:rPr>
            </w:pPr>
            <w:r>
              <w:rPr>
                <w:rFonts w:eastAsia="Times New Roman" w:cs="Times New Roman"/>
                <w:color w:val="000000"/>
                <w:lang w:val="en-US" w:eastAsia="fr-FR"/>
              </w:rPr>
              <w:t> </w:t>
            </w:r>
          </w:p>
        </w:tc>
        <w:tc>
          <w:tcPr>
            <w:tcW w:w="425" w:type="dxa"/>
            <w:tcBorders>
              <w:top w:val="single" w:sz="12" w:space="0" w:color="auto"/>
              <w:left w:val="single" w:sz="12" w:space="0" w:color="auto"/>
              <w:bottom w:val="single" w:sz="12" w:space="0" w:color="auto"/>
              <w:right w:val="single" w:sz="12" w:space="0" w:color="auto"/>
            </w:tcBorders>
            <w:shd w:val="clear" w:color="auto" w:fill="FFFFFF" w:themeFill="background1"/>
            <w:noWrap/>
            <w:vAlign w:val="bottom"/>
            <w:hideMark/>
          </w:tcPr>
          <w:p w14:paraId="0E496F22" w14:textId="77777777" w:rsidR="00424A95" w:rsidRDefault="00424A95" w:rsidP="001409D8">
            <w:pPr>
              <w:spacing w:after="0" w:line="240" w:lineRule="auto"/>
              <w:rPr>
                <w:rFonts w:eastAsia="Times New Roman" w:cs="Times New Roman"/>
                <w:color w:val="000000"/>
                <w:lang w:val="en-US" w:eastAsia="fr-FR"/>
              </w:rPr>
            </w:pPr>
            <w:r>
              <w:rPr>
                <w:rFonts w:eastAsia="Times New Roman" w:cs="Times New Roman"/>
                <w:color w:val="000000"/>
                <w:lang w:val="en-US" w:eastAsia="fr-FR"/>
              </w:rPr>
              <w:t> </w:t>
            </w:r>
          </w:p>
        </w:tc>
        <w:tc>
          <w:tcPr>
            <w:tcW w:w="567" w:type="dxa"/>
            <w:tcBorders>
              <w:top w:val="single" w:sz="12" w:space="0" w:color="auto"/>
              <w:left w:val="single" w:sz="12" w:space="0" w:color="auto"/>
              <w:bottom w:val="single" w:sz="12" w:space="0" w:color="auto"/>
              <w:right w:val="single" w:sz="12" w:space="0" w:color="auto"/>
            </w:tcBorders>
            <w:shd w:val="clear" w:color="auto" w:fill="FFFFFF" w:themeFill="background1"/>
            <w:noWrap/>
            <w:vAlign w:val="bottom"/>
            <w:hideMark/>
          </w:tcPr>
          <w:p w14:paraId="32392319" w14:textId="77777777" w:rsidR="00424A95" w:rsidRDefault="00424A95" w:rsidP="001409D8">
            <w:pPr>
              <w:spacing w:after="0" w:line="240" w:lineRule="auto"/>
              <w:rPr>
                <w:rFonts w:eastAsia="Times New Roman" w:cs="Times New Roman"/>
                <w:color w:val="000000"/>
                <w:lang w:val="en-US" w:eastAsia="fr-FR"/>
              </w:rPr>
            </w:pPr>
            <w:r>
              <w:rPr>
                <w:rFonts w:eastAsia="Times New Roman" w:cs="Times New Roman"/>
                <w:color w:val="000000"/>
                <w:lang w:val="en-US" w:eastAsia="fr-FR"/>
              </w:rPr>
              <w:t> </w:t>
            </w:r>
          </w:p>
        </w:tc>
        <w:tc>
          <w:tcPr>
            <w:tcW w:w="425" w:type="dxa"/>
            <w:tcBorders>
              <w:top w:val="single" w:sz="12" w:space="0" w:color="auto"/>
              <w:left w:val="single" w:sz="12" w:space="0" w:color="auto"/>
              <w:bottom w:val="single" w:sz="12" w:space="0" w:color="auto"/>
              <w:right w:val="single" w:sz="12" w:space="0" w:color="auto"/>
            </w:tcBorders>
            <w:shd w:val="clear" w:color="auto" w:fill="FFFFFF" w:themeFill="background1"/>
            <w:noWrap/>
            <w:vAlign w:val="bottom"/>
            <w:hideMark/>
          </w:tcPr>
          <w:p w14:paraId="55045551" w14:textId="77777777" w:rsidR="00424A95" w:rsidRDefault="00424A95" w:rsidP="001409D8">
            <w:pPr>
              <w:spacing w:after="0" w:line="240" w:lineRule="auto"/>
              <w:rPr>
                <w:rFonts w:eastAsia="Times New Roman" w:cs="Times New Roman"/>
                <w:color w:val="000000"/>
                <w:lang w:val="en-US" w:eastAsia="fr-FR"/>
              </w:rPr>
            </w:pPr>
            <w:r>
              <w:rPr>
                <w:rFonts w:eastAsia="Times New Roman" w:cs="Times New Roman"/>
                <w:color w:val="000000"/>
                <w:lang w:val="en-US" w:eastAsia="fr-FR"/>
              </w:rPr>
              <w:t> </w:t>
            </w:r>
          </w:p>
        </w:tc>
        <w:tc>
          <w:tcPr>
            <w:tcW w:w="425"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hideMark/>
          </w:tcPr>
          <w:p w14:paraId="2249D919" w14:textId="77777777" w:rsidR="00424A95" w:rsidRDefault="00424A95" w:rsidP="001409D8">
            <w:pPr>
              <w:spacing w:after="0" w:line="240" w:lineRule="auto"/>
              <w:rPr>
                <w:rFonts w:eastAsia="Times New Roman" w:cs="Times New Roman"/>
                <w:color w:val="000000"/>
                <w:lang w:val="en-US" w:eastAsia="fr-FR"/>
              </w:rPr>
            </w:pPr>
            <w:r>
              <w:rPr>
                <w:rFonts w:eastAsia="Times New Roman" w:cs="Times New Roman"/>
                <w:color w:val="000000"/>
                <w:lang w:val="en-US" w:eastAsia="fr-FR"/>
              </w:rPr>
              <w:t> </w:t>
            </w:r>
          </w:p>
        </w:tc>
        <w:tc>
          <w:tcPr>
            <w:tcW w:w="426"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hideMark/>
          </w:tcPr>
          <w:p w14:paraId="061A514D" w14:textId="77777777" w:rsidR="00424A95" w:rsidRDefault="00424A95" w:rsidP="001409D8">
            <w:pPr>
              <w:spacing w:after="0" w:line="240" w:lineRule="auto"/>
              <w:rPr>
                <w:rFonts w:eastAsia="Times New Roman" w:cs="Times New Roman"/>
                <w:color w:val="000000"/>
                <w:lang w:val="en-US" w:eastAsia="fr-FR"/>
              </w:rPr>
            </w:pPr>
            <w:r>
              <w:rPr>
                <w:rFonts w:eastAsia="Times New Roman" w:cs="Times New Roman"/>
                <w:color w:val="000000"/>
                <w:lang w:val="en-US" w:eastAsia="fr-FR"/>
              </w:rPr>
              <w:t> </w:t>
            </w:r>
          </w:p>
        </w:tc>
        <w:tc>
          <w:tcPr>
            <w:tcW w:w="567"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hideMark/>
          </w:tcPr>
          <w:p w14:paraId="3AADB9CF" w14:textId="77777777" w:rsidR="00424A95" w:rsidRDefault="00424A95" w:rsidP="001409D8">
            <w:pPr>
              <w:spacing w:after="0" w:line="240" w:lineRule="auto"/>
              <w:rPr>
                <w:rFonts w:eastAsia="Times New Roman" w:cs="Times New Roman"/>
                <w:color w:val="000000"/>
                <w:lang w:val="en-US" w:eastAsia="fr-FR"/>
              </w:rPr>
            </w:pPr>
            <w:r>
              <w:rPr>
                <w:rFonts w:eastAsia="Times New Roman" w:cs="Times New Roman"/>
                <w:color w:val="000000"/>
                <w:lang w:val="en-US" w:eastAsia="fr-FR"/>
              </w:rPr>
              <w:t> </w:t>
            </w:r>
          </w:p>
        </w:tc>
        <w:tc>
          <w:tcPr>
            <w:tcW w:w="425" w:type="dxa"/>
            <w:tcBorders>
              <w:top w:val="single" w:sz="12" w:space="0" w:color="auto"/>
              <w:left w:val="single" w:sz="12" w:space="0" w:color="auto"/>
              <w:bottom w:val="single" w:sz="12" w:space="0" w:color="auto"/>
              <w:right w:val="single" w:sz="12" w:space="0" w:color="auto"/>
            </w:tcBorders>
            <w:shd w:val="clear" w:color="auto" w:fill="E36C0A" w:themeFill="accent6" w:themeFillShade="BF"/>
          </w:tcPr>
          <w:p w14:paraId="35BE14F0" w14:textId="77777777" w:rsidR="00424A95" w:rsidRDefault="00424A95" w:rsidP="001409D8">
            <w:pPr>
              <w:spacing w:after="0" w:line="240" w:lineRule="auto"/>
              <w:rPr>
                <w:rFonts w:eastAsia="Times New Roman" w:cs="Times New Roman"/>
                <w:color w:val="000000"/>
                <w:lang w:val="en-US" w:eastAsia="fr-FR"/>
              </w:rPr>
            </w:pPr>
          </w:p>
        </w:tc>
        <w:tc>
          <w:tcPr>
            <w:tcW w:w="567" w:type="dxa"/>
            <w:tcBorders>
              <w:top w:val="single" w:sz="12" w:space="0" w:color="auto"/>
              <w:left w:val="single" w:sz="12" w:space="0" w:color="auto"/>
              <w:bottom w:val="single" w:sz="12" w:space="0" w:color="auto"/>
              <w:right w:val="single" w:sz="12" w:space="0" w:color="auto"/>
            </w:tcBorders>
            <w:shd w:val="clear" w:color="auto" w:fill="E36C0A" w:themeFill="accent6" w:themeFillShade="BF"/>
          </w:tcPr>
          <w:p w14:paraId="583613C0" w14:textId="77777777" w:rsidR="00424A95" w:rsidRDefault="00424A95" w:rsidP="001409D8">
            <w:pPr>
              <w:spacing w:after="0" w:line="240" w:lineRule="auto"/>
              <w:rPr>
                <w:rFonts w:eastAsia="Times New Roman" w:cs="Times New Roman"/>
                <w:color w:val="000000"/>
                <w:lang w:val="en-US" w:eastAsia="fr-FR"/>
              </w:rPr>
            </w:pPr>
          </w:p>
        </w:tc>
        <w:tc>
          <w:tcPr>
            <w:tcW w:w="425" w:type="dxa"/>
            <w:tcBorders>
              <w:top w:val="single" w:sz="12" w:space="0" w:color="auto"/>
              <w:left w:val="single" w:sz="12" w:space="0" w:color="auto"/>
              <w:bottom w:val="single" w:sz="12" w:space="0" w:color="auto"/>
              <w:right w:val="single" w:sz="12" w:space="0" w:color="auto"/>
            </w:tcBorders>
            <w:shd w:val="clear" w:color="auto" w:fill="E36C0A" w:themeFill="accent6" w:themeFillShade="BF"/>
          </w:tcPr>
          <w:p w14:paraId="2DA0A16A" w14:textId="77777777" w:rsidR="00424A95" w:rsidRDefault="00424A95" w:rsidP="001409D8">
            <w:pPr>
              <w:spacing w:after="0" w:line="240" w:lineRule="auto"/>
              <w:rPr>
                <w:rFonts w:eastAsia="Times New Roman" w:cs="Times New Roman"/>
                <w:color w:val="000000"/>
                <w:lang w:val="en-US" w:eastAsia="fr-FR"/>
              </w:rPr>
            </w:pPr>
          </w:p>
        </w:tc>
        <w:tc>
          <w:tcPr>
            <w:tcW w:w="425"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hideMark/>
          </w:tcPr>
          <w:p w14:paraId="065D323C" w14:textId="77777777" w:rsidR="00424A95" w:rsidRDefault="00424A95" w:rsidP="001409D8">
            <w:pPr>
              <w:spacing w:after="0" w:line="240" w:lineRule="auto"/>
              <w:rPr>
                <w:rFonts w:eastAsia="Times New Roman" w:cs="Times New Roman"/>
                <w:color w:val="000000"/>
                <w:lang w:val="en-US" w:eastAsia="fr-FR"/>
              </w:rPr>
            </w:pPr>
            <w:r>
              <w:rPr>
                <w:rFonts w:eastAsia="Times New Roman" w:cs="Times New Roman"/>
                <w:color w:val="000000"/>
                <w:lang w:val="en-US" w:eastAsia="fr-FR"/>
              </w:rPr>
              <w:t> </w:t>
            </w:r>
          </w:p>
        </w:tc>
        <w:tc>
          <w:tcPr>
            <w:tcW w:w="567" w:type="dxa"/>
            <w:tcBorders>
              <w:top w:val="single" w:sz="12" w:space="0" w:color="auto"/>
              <w:left w:val="single" w:sz="12" w:space="0" w:color="auto"/>
              <w:bottom w:val="single" w:sz="12" w:space="0" w:color="auto"/>
              <w:right w:val="single" w:sz="12" w:space="0" w:color="auto"/>
            </w:tcBorders>
            <w:shd w:val="clear" w:color="auto" w:fill="E36C0A" w:themeFill="accent6" w:themeFillShade="BF"/>
          </w:tcPr>
          <w:p w14:paraId="22055BEE" w14:textId="77777777" w:rsidR="00424A95" w:rsidRDefault="00424A95" w:rsidP="001409D8">
            <w:pPr>
              <w:spacing w:after="0" w:line="240" w:lineRule="auto"/>
              <w:rPr>
                <w:rFonts w:eastAsia="Times New Roman" w:cs="Times New Roman"/>
                <w:color w:val="000000"/>
                <w:lang w:val="en-US" w:eastAsia="fr-FR"/>
              </w:rPr>
            </w:pPr>
          </w:p>
        </w:tc>
        <w:tc>
          <w:tcPr>
            <w:tcW w:w="567" w:type="dxa"/>
            <w:tcBorders>
              <w:top w:val="single" w:sz="12" w:space="0" w:color="auto"/>
              <w:left w:val="single" w:sz="12" w:space="0" w:color="auto"/>
              <w:bottom w:val="single" w:sz="12" w:space="0" w:color="auto"/>
              <w:right w:val="single" w:sz="12" w:space="0" w:color="auto"/>
            </w:tcBorders>
            <w:shd w:val="clear" w:color="auto" w:fill="E36C0A" w:themeFill="accent6" w:themeFillShade="BF"/>
          </w:tcPr>
          <w:p w14:paraId="7928A15F" w14:textId="77777777" w:rsidR="00424A95" w:rsidRDefault="00424A95" w:rsidP="001409D8">
            <w:pPr>
              <w:spacing w:after="0" w:line="240" w:lineRule="auto"/>
              <w:rPr>
                <w:rFonts w:eastAsia="Times New Roman" w:cs="Times New Roman"/>
                <w:color w:val="000000"/>
                <w:lang w:val="en-US" w:eastAsia="fr-FR"/>
              </w:rPr>
            </w:pPr>
          </w:p>
        </w:tc>
        <w:tc>
          <w:tcPr>
            <w:tcW w:w="426" w:type="dxa"/>
            <w:tcBorders>
              <w:top w:val="single" w:sz="12" w:space="0" w:color="auto"/>
              <w:left w:val="single" w:sz="12" w:space="0" w:color="auto"/>
              <w:bottom w:val="single" w:sz="12" w:space="0" w:color="auto"/>
              <w:right w:val="single" w:sz="12" w:space="0" w:color="auto"/>
            </w:tcBorders>
            <w:shd w:val="clear" w:color="auto" w:fill="E36C0A" w:themeFill="accent6" w:themeFillShade="BF"/>
          </w:tcPr>
          <w:p w14:paraId="28CEB1A3" w14:textId="77777777" w:rsidR="00424A95" w:rsidRDefault="00424A95" w:rsidP="001409D8">
            <w:pPr>
              <w:spacing w:after="0" w:line="240" w:lineRule="auto"/>
              <w:rPr>
                <w:rFonts w:eastAsia="Times New Roman" w:cs="Times New Roman"/>
                <w:color w:val="000000"/>
                <w:lang w:val="en-US" w:eastAsia="fr-FR"/>
              </w:rPr>
            </w:pPr>
          </w:p>
        </w:tc>
        <w:tc>
          <w:tcPr>
            <w:tcW w:w="567" w:type="dxa"/>
            <w:tcBorders>
              <w:top w:val="single" w:sz="12" w:space="0" w:color="auto"/>
              <w:left w:val="single" w:sz="12" w:space="0" w:color="auto"/>
              <w:bottom w:val="single" w:sz="12" w:space="0" w:color="auto"/>
              <w:right w:val="single" w:sz="12" w:space="0" w:color="auto"/>
            </w:tcBorders>
            <w:shd w:val="clear" w:color="auto" w:fill="E36C0A" w:themeFill="accent6" w:themeFillShade="BF"/>
          </w:tcPr>
          <w:p w14:paraId="546C1E6B" w14:textId="77777777" w:rsidR="00424A95" w:rsidRDefault="00424A95" w:rsidP="001409D8">
            <w:pPr>
              <w:spacing w:after="0" w:line="240" w:lineRule="auto"/>
              <w:rPr>
                <w:rFonts w:eastAsia="Times New Roman" w:cs="Times New Roman"/>
                <w:color w:val="000000"/>
                <w:lang w:val="en-US" w:eastAsia="fr-FR"/>
              </w:rPr>
            </w:pPr>
          </w:p>
        </w:tc>
        <w:tc>
          <w:tcPr>
            <w:tcW w:w="567" w:type="dxa"/>
            <w:tcBorders>
              <w:top w:val="single" w:sz="12" w:space="0" w:color="auto"/>
              <w:left w:val="single" w:sz="12" w:space="0" w:color="auto"/>
              <w:bottom w:val="single" w:sz="12" w:space="0" w:color="auto"/>
              <w:right w:val="single" w:sz="12" w:space="0" w:color="auto"/>
            </w:tcBorders>
            <w:shd w:val="clear" w:color="auto" w:fill="E36C0A" w:themeFill="accent6" w:themeFillShade="BF"/>
          </w:tcPr>
          <w:p w14:paraId="569916B6" w14:textId="072FEB8C" w:rsidR="00424A95" w:rsidRDefault="00424A95" w:rsidP="001409D8">
            <w:pPr>
              <w:spacing w:after="0" w:line="240" w:lineRule="auto"/>
              <w:rPr>
                <w:rFonts w:eastAsia="Times New Roman" w:cs="Times New Roman"/>
                <w:color w:val="000000"/>
                <w:lang w:val="en-US" w:eastAsia="fr-FR"/>
              </w:rPr>
            </w:pPr>
          </w:p>
        </w:tc>
      </w:tr>
      <w:tr w:rsidR="00424A95" w14:paraId="62D235F5" w14:textId="735E8374" w:rsidTr="000C2CDA">
        <w:trPr>
          <w:trHeight w:val="750"/>
        </w:trPr>
        <w:tc>
          <w:tcPr>
            <w:tcW w:w="1915" w:type="dxa"/>
            <w:tcBorders>
              <w:top w:val="single" w:sz="12" w:space="0" w:color="auto"/>
              <w:left w:val="single" w:sz="12" w:space="0" w:color="auto"/>
              <w:bottom w:val="single" w:sz="12" w:space="0" w:color="auto"/>
              <w:right w:val="single" w:sz="12" w:space="0" w:color="auto"/>
            </w:tcBorders>
            <w:shd w:val="clear" w:color="auto" w:fill="92D050"/>
            <w:vAlign w:val="center"/>
            <w:hideMark/>
          </w:tcPr>
          <w:p w14:paraId="7DB438C8" w14:textId="77777777" w:rsidR="00424A95" w:rsidRDefault="00424A95" w:rsidP="001409D8">
            <w:pPr>
              <w:spacing w:after="0" w:line="240" w:lineRule="auto"/>
              <w:rPr>
                <w:rFonts w:eastAsia="Times New Roman" w:cs="Times New Roman"/>
                <w:b/>
                <w:color w:val="000000"/>
                <w:lang w:eastAsia="fr-FR"/>
              </w:rPr>
            </w:pPr>
            <w:r>
              <w:rPr>
                <w:rFonts w:eastAsia="Times New Roman" w:cs="Times New Roman"/>
                <w:b/>
                <w:color w:val="000000"/>
                <w:lang w:eastAsia="fr-FR"/>
              </w:rPr>
              <w:t>Demande &amp; Engagement Citoyen</w:t>
            </w:r>
          </w:p>
        </w:tc>
        <w:tc>
          <w:tcPr>
            <w:tcW w:w="850" w:type="dxa"/>
            <w:tcBorders>
              <w:top w:val="single" w:sz="12" w:space="0" w:color="auto"/>
              <w:left w:val="single" w:sz="12" w:space="0" w:color="auto"/>
              <w:bottom w:val="single" w:sz="12" w:space="0" w:color="auto"/>
              <w:right w:val="single" w:sz="12" w:space="0" w:color="auto"/>
            </w:tcBorders>
            <w:vAlign w:val="center"/>
            <w:hideMark/>
          </w:tcPr>
          <w:p w14:paraId="05F34E9D" w14:textId="77777777" w:rsidR="00424A95" w:rsidRDefault="00424A95" w:rsidP="001409D8">
            <w:pPr>
              <w:rPr>
                <w:rFonts w:eastAsia="Times New Roman" w:cs="Times New Roman"/>
                <w:b/>
                <w:color w:val="000000"/>
                <w:lang w:eastAsia="fr-FR"/>
              </w:rPr>
            </w:pPr>
          </w:p>
        </w:tc>
        <w:tc>
          <w:tcPr>
            <w:tcW w:w="567" w:type="dxa"/>
            <w:tcBorders>
              <w:top w:val="single" w:sz="12" w:space="0" w:color="auto"/>
              <w:left w:val="single" w:sz="12" w:space="0" w:color="auto"/>
              <w:bottom w:val="single" w:sz="12" w:space="0" w:color="auto"/>
              <w:right w:val="single" w:sz="12" w:space="0" w:color="auto"/>
            </w:tcBorders>
            <w:noWrap/>
            <w:vAlign w:val="center"/>
            <w:hideMark/>
          </w:tcPr>
          <w:p w14:paraId="621B9D8C" w14:textId="77777777" w:rsidR="00424A95" w:rsidRDefault="00424A95" w:rsidP="001409D8">
            <w:pPr>
              <w:spacing w:after="0"/>
              <w:rPr>
                <w:sz w:val="20"/>
                <w:szCs w:val="20"/>
                <w:lang w:eastAsia="fr-FR"/>
              </w:rPr>
            </w:pPr>
          </w:p>
        </w:tc>
        <w:tc>
          <w:tcPr>
            <w:tcW w:w="426" w:type="dxa"/>
            <w:tcBorders>
              <w:top w:val="single" w:sz="12" w:space="0" w:color="auto"/>
              <w:left w:val="single" w:sz="12" w:space="0" w:color="auto"/>
              <w:bottom w:val="single" w:sz="12" w:space="0" w:color="auto"/>
              <w:right w:val="single" w:sz="12" w:space="0" w:color="auto"/>
            </w:tcBorders>
            <w:noWrap/>
            <w:vAlign w:val="bottom"/>
            <w:hideMark/>
          </w:tcPr>
          <w:p w14:paraId="5877ECC2"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0BC2B3B5"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6B2C60DA"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208C6C01"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46182FEA"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28F2FDC6"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0CFE5FA3"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15A7A75D"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6" w:type="dxa"/>
            <w:tcBorders>
              <w:top w:val="single" w:sz="12" w:space="0" w:color="auto"/>
              <w:left w:val="single" w:sz="12" w:space="0" w:color="auto"/>
              <w:bottom w:val="single" w:sz="12" w:space="0" w:color="auto"/>
              <w:right w:val="single" w:sz="12" w:space="0" w:color="auto"/>
            </w:tcBorders>
            <w:noWrap/>
            <w:vAlign w:val="bottom"/>
            <w:hideMark/>
          </w:tcPr>
          <w:p w14:paraId="5BCC68A2"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4BD7047D"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12D40FFF"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6C766248"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14A54A49"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6" w:type="dxa"/>
            <w:tcBorders>
              <w:top w:val="single" w:sz="12" w:space="0" w:color="auto"/>
              <w:left w:val="single" w:sz="12" w:space="0" w:color="auto"/>
              <w:bottom w:val="single" w:sz="12" w:space="0" w:color="auto"/>
              <w:right w:val="single" w:sz="12" w:space="0" w:color="auto"/>
            </w:tcBorders>
            <w:noWrap/>
            <w:vAlign w:val="bottom"/>
            <w:hideMark/>
          </w:tcPr>
          <w:p w14:paraId="241F9C2D"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6BB73307"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tcPr>
          <w:p w14:paraId="6E2D74B9"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60E3CDAC" w14:textId="77777777" w:rsidR="00424A95" w:rsidRDefault="00424A95"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tcPr>
          <w:p w14:paraId="1E56320D" w14:textId="77777777" w:rsidR="00424A95" w:rsidRDefault="00424A95"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6BCAEC25"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tcPr>
          <w:p w14:paraId="46134821"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23343F00" w14:textId="77777777" w:rsidR="00424A95" w:rsidRDefault="00424A95" w:rsidP="001409D8">
            <w:pPr>
              <w:spacing w:after="0" w:line="240" w:lineRule="auto"/>
              <w:rPr>
                <w:rFonts w:eastAsia="Times New Roman" w:cs="Times New Roman"/>
                <w:color w:val="000000"/>
                <w:lang w:eastAsia="fr-FR"/>
              </w:rPr>
            </w:pPr>
          </w:p>
        </w:tc>
        <w:tc>
          <w:tcPr>
            <w:tcW w:w="426" w:type="dxa"/>
            <w:tcBorders>
              <w:top w:val="single" w:sz="12" w:space="0" w:color="auto"/>
              <w:left w:val="single" w:sz="12" w:space="0" w:color="auto"/>
              <w:bottom w:val="single" w:sz="12" w:space="0" w:color="auto"/>
              <w:right w:val="single" w:sz="12" w:space="0" w:color="auto"/>
            </w:tcBorders>
          </w:tcPr>
          <w:p w14:paraId="0C0C0E61"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495F58DC"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32EC5C4B" w14:textId="40B70C4A" w:rsidR="00424A95" w:rsidRDefault="00424A95" w:rsidP="001409D8">
            <w:pPr>
              <w:spacing w:after="0" w:line="240" w:lineRule="auto"/>
              <w:rPr>
                <w:rFonts w:eastAsia="Times New Roman" w:cs="Times New Roman"/>
                <w:color w:val="000000"/>
                <w:lang w:eastAsia="fr-FR"/>
              </w:rPr>
            </w:pPr>
          </w:p>
        </w:tc>
      </w:tr>
      <w:tr w:rsidR="00424A95" w14:paraId="3EB76DD5" w14:textId="0E6AEFDD" w:rsidTr="000C2CDA">
        <w:trPr>
          <w:trHeight w:val="315"/>
        </w:trPr>
        <w:tc>
          <w:tcPr>
            <w:tcW w:w="1915" w:type="dxa"/>
            <w:tcBorders>
              <w:top w:val="single" w:sz="12" w:space="0" w:color="auto"/>
              <w:left w:val="single" w:sz="12" w:space="0" w:color="auto"/>
              <w:bottom w:val="single" w:sz="12" w:space="0" w:color="auto"/>
              <w:right w:val="single" w:sz="12" w:space="0" w:color="auto"/>
            </w:tcBorders>
            <w:shd w:val="clear" w:color="auto" w:fill="FFFF00"/>
            <w:vAlign w:val="center"/>
            <w:hideMark/>
          </w:tcPr>
          <w:p w14:paraId="356CF536"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ACTIONS A COURT TERME</w:t>
            </w:r>
          </w:p>
        </w:tc>
        <w:tc>
          <w:tcPr>
            <w:tcW w:w="850" w:type="dxa"/>
            <w:tcBorders>
              <w:top w:val="single" w:sz="12" w:space="0" w:color="auto"/>
              <w:left w:val="single" w:sz="12" w:space="0" w:color="auto"/>
              <w:bottom w:val="single" w:sz="12" w:space="0" w:color="auto"/>
              <w:right w:val="single" w:sz="12" w:space="0" w:color="auto"/>
            </w:tcBorders>
            <w:vAlign w:val="center"/>
          </w:tcPr>
          <w:p w14:paraId="3007E01A" w14:textId="77777777" w:rsidR="00424A95" w:rsidRDefault="00424A95" w:rsidP="001409D8">
            <w:pPr>
              <w:spacing w:after="0" w:line="240" w:lineRule="auto"/>
              <w:jc w:val="center"/>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noWrap/>
            <w:vAlign w:val="center"/>
          </w:tcPr>
          <w:p w14:paraId="392D03DC" w14:textId="77777777" w:rsidR="00424A95" w:rsidRDefault="00424A95" w:rsidP="001409D8">
            <w:pPr>
              <w:spacing w:after="0" w:line="240" w:lineRule="auto"/>
              <w:jc w:val="center"/>
              <w:rPr>
                <w:rFonts w:eastAsia="Times New Roman" w:cs="Times New Roman"/>
                <w:color w:val="000000"/>
                <w:lang w:eastAsia="fr-FR"/>
              </w:rPr>
            </w:pPr>
          </w:p>
        </w:tc>
        <w:tc>
          <w:tcPr>
            <w:tcW w:w="426" w:type="dxa"/>
            <w:tcBorders>
              <w:top w:val="single" w:sz="12" w:space="0" w:color="auto"/>
              <w:left w:val="single" w:sz="12" w:space="0" w:color="auto"/>
              <w:bottom w:val="single" w:sz="12" w:space="0" w:color="auto"/>
              <w:right w:val="single" w:sz="12" w:space="0" w:color="auto"/>
            </w:tcBorders>
            <w:noWrap/>
            <w:vAlign w:val="bottom"/>
          </w:tcPr>
          <w:p w14:paraId="0EF9F487"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noWrap/>
            <w:vAlign w:val="bottom"/>
          </w:tcPr>
          <w:p w14:paraId="26269E36"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noWrap/>
            <w:vAlign w:val="bottom"/>
          </w:tcPr>
          <w:p w14:paraId="616D4F3E" w14:textId="77777777" w:rsidR="00424A95" w:rsidRDefault="00424A95"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noWrap/>
            <w:vAlign w:val="bottom"/>
          </w:tcPr>
          <w:p w14:paraId="3985DFD4"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noWrap/>
            <w:vAlign w:val="bottom"/>
          </w:tcPr>
          <w:p w14:paraId="5FE8ADD7" w14:textId="77777777" w:rsidR="00424A95" w:rsidRDefault="00424A95"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noWrap/>
            <w:vAlign w:val="bottom"/>
          </w:tcPr>
          <w:p w14:paraId="7C620B89" w14:textId="77777777" w:rsidR="00424A95" w:rsidRDefault="00424A95"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noWrap/>
            <w:vAlign w:val="bottom"/>
          </w:tcPr>
          <w:p w14:paraId="58617F54"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noWrap/>
            <w:vAlign w:val="bottom"/>
          </w:tcPr>
          <w:p w14:paraId="2F5E9D65" w14:textId="77777777" w:rsidR="00424A95" w:rsidRDefault="00424A95" w:rsidP="001409D8">
            <w:pPr>
              <w:spacing w:after="0" w:line="240" w:lineRule="auto"/>
              <w:rPr>
                <w:rFonts w:eastAsia="Times New Roman" w:cs="Times New Roman"/>
                <w:color w:val="000000"/>
                <w:lang w:eastAsia="fr-FR"/>
              </w:rPr>
            </w:pPr>
          </w:p>
        </w:tc>
        <w:tc>
          <w:tcPr>
            <w:tcW w:w="426" w:type="dxa"/>
            <w:tcBorders>
              <w:top w:val="single" w:sz="12" w:space="0" w:color="auto"/>
              <w:left w:val="single" w:sz="12" w:space="0" w:color="auto"/>
              <w:bottom w:val="single" w:sz="12" w:space="0" w:color="auto"/>
              <w:right w:val="single" w:sz="12" w:space="0" w:color="auto"/>
            </w:tcBorders>
            <w:noWrap/>
            <w:vAlign w:val="bottom"/>
          </w:tcPr>
          <w:p w14:paraId="5BC90A66" w14:textId="77777777" w:rsidR="00424A95" w:rsidRDefault="00424A95"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noWrap/>
            <w:vAlign w:val="bottom"/>
          </w:tcPr>
          <w:p w14:paraId="4AA0DBAC"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noWrap/>
            <w:vAlign w:val="bottom"/>
          </w:tcPr>
          <w:p w14:paraId="18182F8D" w14:textId="77777777" w:rsidR="00424A95" w:rsidRDefault="00424A95"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noWrap/>
            <w:vAlign w:val="bottom"/>
          </w:tcPr>
          <w:p w14:paraId="72E4F46F" w14:textId="77777777" w:rsidR="00424A95" w:rsidRDefault="00424A95"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noWrap/>
            <w:vAlign w:val="bottom"/>
          </w:tcPr>
          <w:p w14:paraId="548239B6" w14:textId="77777777" w:rsidR="00424A95" w:rsidRDefault="00424A95" w:rsidP="001409D8">
            <w:pPr>
              <w:spacing w:after="0" w:line="240" w:lineRule="auto"/>
              <w:rPr>
                <w:rFonts w:eastAsia="Times New Roman" w:cs="Times New Roman"/>
                <w:color w:val="000000"/>
                <w:lang w:eastAsia="fr-FR"/>
              </w:rPr>
            </w:pPr>
          </w:p>
        </w:tc>
        <w:tc>
          <w:tcPr>
            <w:tcW w:w="426" w:type="dxa"/>
            <w:tcBorders>
              <w:top w:val="single" w:sz="12" w:space="0" w:color="auto"/>
              <w:left w:val="single" w:sz="12" w:space="0" w:color="auto"/>
              <w:bottom w:val="single" w:sz="12" w:space="0" w:color="auto"/>
              <w:right w:val="single" w:sz="12" w:space="0" w:color="auto"/>
            </w:tcBorders>
            <w:noWrap/>
            <w:vAlign w:val="bottom"/>
          </w:tcPr>
          <w:p w14:paraId="22ECF0D5"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noWrap/>
            <w:vAlign w:val="bottom"/>
          </w:tcPr>
          <w:p w14:paraId="76DFDC90" w14:textId="77777777" w:rsidR="00424A95" w:rsidRDefault="00424A95"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tcPr>
          <w:p w14:paraId="051D8191"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580057E3" w14:textId="77777777" w:rsidR="00424A95" w:rsidRDefault="00424A95"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tcPr>
          <w:p w14:paraId="203892DB" w14:textId="77777777" w:rsidR="00424A95" w:rsidRDefault="00424A95"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noWrap/>
            <w:vAlign w:val="bottom"/>
          </w:tcPr>
          <w:p w14:paraId="3566AAE9"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0F1C31AA"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0974B0E2" w14:textId="77777777" w:rsidR="00424A95" w:rsidRDefault="00424A95" w:rsidP="001409D8">
            <w:pPr>
              <w:spacing w:after="0" w:line="240" w:lineRule="auto"/>
              <w:rPr>
                <w:rFonts w:eastAsia="Times New Roman" w:cs="Times New Roman"/>
                <w:color w:val="000000"/>
                <w:lang w:eastAsia="fr-FR"/>
              </w:rPr>
            </w:pPr>
          </w:p>
        </w:tc>
        <w:tc>
          <w:tcPr>
            <w:tcW w:w="426" w:type="dxa"/>
            <w:tcBorders>
              <w:top w:val="single" w:sz="12" w:space="0" w:color="auto"/>
              <w:left w:val="single" w:sz="12" w:space="0" w:color="auto"/>
              <w:bottom w:val="single" w:sz="12" w:space="0" w:color="auto"/>
              <w:right w:val="single" w:sz="12" w:space="0" w:color="auto"/>
            </w:tcBorders>
          </w:tcPr>
          <w:p w14:paraId="4AD39E65"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70E2616A"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45FC7F54" w14:textId="69E0D1ED" w:rsidR="00424A95" w:rsidRDefault="00424A95" w:rsidP="001409D8">
            <w:pPr>
              <w:spacing w:after="0" w:line="240" w:lineRule="auto"/>
              <w:rPr>
                <w:rFonts w:eastAsia="Times New Roman" w:cs="Times New Roman"/>
                <w:color w:val="000000"/>
                <w:lang w:eastAsia="fr-FR"/>
              </w:rPr>
            </w:pPr>
          </w:p>
        </w:tc>
      </w:tr>
      <w:tr w:rsidR="000C2CDA" w14:paraId="17DFF1D3" w14:textId="77777777" w:rsidTr="000C2CDA">
        <w:trPr>
          <w:trHeight w:val="315"/>
        </w:trPr>
        <w:tc>
          <w:tcPr>
            <w:tcW w:w="191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103C2C6" w14:textId="7C203F0D" w:rsidR="000C2CDA" w:rsidRDefault="000C2CDA" w:rsidP="001409D8">
            <w:pPr>
              <w:spacing w:after="0" w:line="240" w:lineRule="auto"/>
              <w:rPr>
                <w:szCs w:val="24"/>
              </w:rPr>
            </w:pPr>
            <w:r w:rsidRPr="000C2CDA">
              <w:rPr>
                <w:szCs w:val="24"/>
              </w:rPr>
              <w:t>Création d’un comité mixte entre le CoPil et les acteurs non-gouvernementaux</w:t>
            </w:r>
          </w:p>
        </w:tc>
        <w:tc>
          <w:tcPr>
            <w:tcW w:w="850" w:type="dxa"/>
            <w:tcBorders>
              <w:top w:val="single" w:sz="12" w:space="0" w:color="auto"/>
              <w:left w:val="single" w:sz="12" w:space="0" w:color="auto"/>
              <w:bottom w:val="single" w:sz="12" w:space="0" w:color="auto"/>
              <w:right w:val="single" w:sz="12" w:space="0" w:color="auto"/>
            </w:tcBorders>
            <w:vAlign w:val="center"/>
          </w:tcPr>
          <w:p w14:paraId="3854095C" w14:textId="4AE667DB" w:rsidR="000C2CDA" w:rsidRDefault="000C2CDA" w:rsidP="001409D8">
            <w:pPr>
              <w:spacing w:after="0" w:line="240" w:lineRule="auto"/>
              <w:jc w:val="center"/>
              <w:rPr>
                <w:szCs w:val="24"/>
              </w:rPr>
            </w:pPr>
            <w:r>
              <w:rPr>
                <w:szCs w:val="24"/>
              </w:rPr>
              <w:t>CoPil</w:t>
            </w:r>
          </w:p>
        </w:tc>
        <w:tc>
          <w:tcPr>
            <w:tcW w:w="567" w:type="dxa"/>
            <w:tcBorders>
              <w:top w:val="single" w:sz="12" w:space="0" w:color="auto"/>
              <w:left w:val="single" w:sz="12" w:space="0" w:color="auto"/>
              <w:bottom w:val="single" w:sz="12" w:space="0" w:color="auto"/>
              <w:right w:val="single" w:sz="12" w:space="0" w:color="auto"/>
            </w:tcBorders>
            <w:noWrap/>
            <w:vAlign w:val="center"/>
          </w:tcPr>
          <w:p w14:paraId="0AF7E9C3" w14:textId="77777777" w:rsidR="000C2CDA" w:rsidRDefault="000C2CDA" w:rsidP="001409D8">
            <w:pPr>
              <w:spacing w:after="0" w:line="240" w:lineRule="auto"/>
              <w:jc w:val="center"/>
              <w:rPr>
                <w:rFonts w:eastAsia="Times New Roman" w:cs="Times New Roman"/>
                <w:color w:val="000000"/>
                <w:lang w:eastAsia="fr-FR"/>
              </w:rPr>
            </w:pPr>
          </w:p>
        </w:tc>
        <w:tc>
          <w:tcPr>
            <w:tcW w:w="426" w:type="dxa"/>
            <w:tcBorders>
              <w:top w:val="single" w:sz="12" w:space="0" w:color="auto"/>
              <w:left w:val="single" w:sz="12" w:space="0" w:color="auto"/>
              <w:bottom w:val="single" w:sz="12" w:space="0" w:color="auto"/>
              <w:right w:val="single" w:sz="12" w:space="0" w:color="auto"/>
            </w:tcBorders>
            <w:noWrap/>
            <w:vAlign w:val="bottom"/>
          </w:tcPr>
          <w:p w14:paraId="63CFA16C" w14:textId="77777777" w:rsidR="000C2CDA" w:rsidRDefault="000C2CDA"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tcPr>
          <w:p w14:paraId="2F70A64B" w14:textId="77777777" w:rsidR="000C2CDA" w:rsidRDefault="000C2CDA"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tcPr>
          <w:p w14:paraId="0FA860F8" w14:textId="77777777" w:rsidR="000C2CDA" w:rsidRDefault="000C2CDA"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shd w:val="clear" w:color="auto" w:fill="FFFFFF" w:themeFill="background1"/>
            <w:noWrap/>
            <w:vAlign w:val="bottom"/>
          </w:tcPr>
          <w:p w14:paraId="499CB5C7" w14:textId="77777777" w:rsidR="000C2CDA" w:rsidRDefault="000C2CDA"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shd w:val="clear" w:color="auto" w:fill="FFFFFF" w:themeFill="background1"/>
            <w:noWrap/>
            <w:vAlign w:val="bottom"/>
          </w:tcPr>
          <w:p w14:paraId="1BF6692A" w14:textId="77777777" w:rsidR="000C2CDA" w:rsidRDefault="000C2CDA"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shd w:val="clear" w:color="auto" w:fill="FFFFFF" w:themeFill="background1"/>
            <w:noWrap/>
            <w:vAlign w:val="bottom"/>
          </w:tcPr>
          <w:p w14:paraId="572D29E0" w14:textId="77777777" w:rsidR="000C2CDA" w:rsidRDefault="000C2CDA"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shd w:val="clear" w:color="auto" w:fill="FFFFFF" w:themeFill="background1"/>
            <w:noWrap/>
            <w:vAlign w:val="bottom"/>
          </w:tcPr>
          <w:p w14:paraId="7AAC6A5C" w14:textId="77777777" w:rsidR="000C2CDA" w:rsidRDefault="000C2CDA"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shd w:val="clear" w:color="auto" w:fill="FFFFFF" w:themeFill="background1"/>
            <w:noWrap/>
            <w:vAlign w:val="bottom"/>
          </w:tcPr>
          <w:p w14:paraId="43795285" w14:textId="77777777" w:rsidR="000C2CDA" w:rsidRDefault="000C2CDA" w:rsidP="001409D8">
            <w:pPr>
              <w:spacing w:after="0" w:line="240" w:lineRule="auto"/>
              <w:rPr>
                <w:rFonts w:eastAsia="Times New Roman" w:cs="Times New Roman"/>
                <w:color w:val="000000"/>
                <w:lang w:eastAsia="fr-FR"/>
              </w:rPr>
            </w:pPr>
          </w:p>
        </w:tc>
        <w:tc>
          <w:tcPr>
            <w:tcW w:w="426" w:type="dxa"/>
            <w:tcBorders>
              <w:top w:val="single" w:sz="12" w:space="0" w:color="auto"/>
              <w:left w:val="single" w:sz="12" w:space="0" w:color="auto"/>
              <w:bottom w:val="single" w:sz="12" w:space="0" w:color="auto"/>
              <w:right w:val="single" w:sz="12" w:space="0" w:color="auto"/>
            </w:tcBorders>
            <w:shd w:val="clear" w:color="auto" w:fill="FFFFFF" w:themeFill="background1"/>
            <w:noWrap/>
            <w:vAlign w:val="bottom"/>
          </w:tcPr>
          <w:p w14:paraId="205F7EFA" w14:textId="77777777" w:rsidR="000C2CDA" w:rsidRDefault="000C2CDA"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shd w:val="clear" w:color="auto" w:fill="FFFFFF" w:themeFill="background1"/>
            <w:noWrap/>
            <w:vAlign w:val="bottom"/>
          </w:tcPr>
          <w:p w14:paraId="0A96FB50" w14:textId="77777777" w:rsidR="000C2CDA" w:rsidRDefault="000C2CDA"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shd w:val="clear" w:color="auto" w:fill="FFFFFF" w:themeFill="background1"/>
            <w:noWrap/>
            <w:vAlign w:val="bottom"/>
          </w:tcPr>
          <w:p w14:paraId="5D33F245" w14:textId="77777777" w:rsidR="000C2CDA" w:rsidRDefault="000C2CDA"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shd w:val="clear" w:color="auto" w:fill="FFFFFF" w:themeFill="background1"/>
            <w:noWrap/>
            <w:vAlign w:val="bottom"/>
          </w:tcPr>
          <w:p w14:paraId="2CE2227A" w14:textId="77777777" w:rsidR="000C2CDA" w:rsidRDefault="000C2CDA"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shd w:val="clear" w:color="auto" w:fill="FFFFFF" w:themeFill="background1"/>
            <w:noWrap/>
            <w:vAlign w:val="bottom"/>
          </w:tcPr>
          <w:p w14:paraId="7A515AE3" w14:textId="77777777" w:rsidR="000C2CDA" w:rsidRDefault="000C2CDA" w:rsidP="001409D8">
            <w:pPr>
              <w:spacing w:after="0" w:line="240" w:lineRule="auto"/>
              <w:rPr>
                <w:rFonts w:eastAsia="Times New Roman" w:cs="Times New Roman"/>
                <w:color w:val="000000"/>
                <w:lang w:eastAsia="fr-FR"/>
              </w:rPr>
            </w:pPr>
          </w:p>
        </w:tc>
        <w:tc>
          <w:tcPr>
            <w:tcW w:w="426" w:type="dxa"/>
            <w:tcBorders>
              <w:top w:val="single" w:sz="12" w:space="0" w:color="auto"/>
              <w:left w:val="single" w:sz="12" w:space="0" w:color="auto"/>
              <w:bottom w:val="single" w:sz="12" w:space="0" w:color="auto"/>
              <w:right w:val="single" w:sz="12" w:space="0" w:color="auto"/>
            </w:tcBorders>
            <w:shd w:val="clear" w:color="auto" w:fill="FFFFFF" w:themeFill="background1"/>
            <w:noWrap/>
            <w:vAlign w:val="bottom"/>
          </w:tcPr>
          <w:p w14:paraId="1E18BBFD" w14:textId="77777777" w:rsidR="000C2CDA" w:rsidRDefault="000C2CDA"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shd w:val="clear" w:color="auto" w:fill="FFFFFF" w:themeFill="background1"/>
            <w:noWrap/>
            <w:vAlign w:val="bottom"/>
          </w:tcPr>
          <w:p w14:paraId="35F0A6C3" w14:textId="77777777" w:rsidR="000C2CDA" w:rsidRDefault="000C2CDA"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C3A561D" w14:textId="77777777" w:rsidR="000C2CDA" w:rsidRDefault="000C2CDA"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1506771F" w14:textId="77777777" w:rsidR="000C2CDA" w:rsidRDefault="000C2CDA"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41498FC" w14:textId="77777777" w:rsidR="000C2CDA" w:rsidRDefault="000C2CDA"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shd w:val="clear" w:color="auto" w:fill="FFFFFF" w:themeFill="background1"/>
            <w:noWrap/>
            <w:vAlign w:val="bottom"/>
          </w:tcPr>
          <w:p w14:paraId="153DC248" w14:textId="77777777" w:rsidR="000C2CDA" w:rsidRDefault="000C2CDA"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7D53099D" w14:textId="77777777" w:rsidR="000C2CDA" w:rsidRDefault="000C2CDA"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75A4B47B" w14:textId="77777777" w:rsidR="000C2CDA" w:rsidRDefault="000C2CDA" w:rsidP="001409D8">
            <w:pPr>
              <w:spacing w:after="0" w:line="240" w:lineRule="auto"/>
              <w:rPr>
                <w:rFonts w:eastAsia="Times New Roman" w:cs="Times New Roman"/>
                <w:color w:val="000000"/>
                <w:lang w:eastAsia="fr-FR"/>
              </w:rPr>
            </w:pPr>
          </w:p>
        </w:tc>
        <w:tc>
          <w:tcPr>
            <w:tcW w:w="42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AACDAFA" w14:textId="77777777" w:rsidR="000C2CDA" w:rsidRDefault="000C2CDA"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459923E" w14:textId="77777777" w:rsidR="000C2CDA" w:rsidRDefault="000C2CDA"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B4C442A" w14:textId="77777777" w:rsidR="000C2CDA" w:rsidRDefault="000C2CDA" w:rsidP="001409D8">
            <w:pPr>
              <w:spacing w:after="0" w:line="240" w:lineRule="auto"/>
              <w:rPr>
                <w:rFonts w:eastAsia="Times New Roman" w:cs="Times New Roman"/>
                <w:color w:val="000000"/>
                <w:lang w:eastAsia="fr-FR"/>
              </w:rPr>
            </w:pPr>
          </w:p>
        </w:tc>
      </w:tr>
      <w:tr w:rsidR="000C2CDA" w14:paraId="7A4E7246" w14:textId="665D67B8" w:rsidTr="000C2CDA">
        <w:trPr>
          <w:trHeight w:val="1216"/>
        </w:trPr>
        <w:tc>
          <w:tcPr>
            <w:tcW w:w="191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D1CFE15" w14:textId="53082EAE" w:rsidR="00424A95" w:rsidRDefault="00424A95" w:rsidP="001409D8">
            <w:pPr>
              <w:spacing w:after="0" w:line="240" w:lineRule="auto"/>
              <w:rPr>
                <w:szCs w:val="24"/>
              </w:rPr>
            </w:pPr>
            <w:r>
              <w:rPr>
                <w:szCs w:val="24"/>
              </w:rPr>
              <w:t xml:space="preserve">Organisation </w:t>
            </w:r>
            <w:r w:rsidR="000C2CDA">
              <w:rPr>
                <w:szCs w:val="24"/>
              </w:rPr>
              <w:t>d</w:t>
            </w:r>
            <w:r w:rsidR="002E60D1">
              <w:rPr>
                <w:szCs w:val="24"/>
              </w:rPr>
              <w:t>e</w:t>
            </w:r>
            <w:r>
              <w:rPr>
                <w:szCs w:val="24"/>
              </w:rPr>
              <w:t xml:space="preserve"> « hackathon</w:t>
            </w:r>
            <w:r w:rsidR="002E60D1">
              <w:rPr>
                <w:szCs w:val="24"/>
              </w:rPr>
              <w:t>s</w:t>
            </w:r>
            <w:r>
              <w:rPr>
                <w:szCs w:val="24"/>
              </w:rPr>
              <w:t xml:space="preserve"> » </w:t>
            </w:r>
          </w:p>
        </w:tc>
        <w:tc>
          <w:tcPr>
            <w:tcW w:w="850" w:type="dxa"/>
            <w:tcBorders>
              <w:top w:val="single" w:sz="12" w:space="0" w:color="auto"/>
              <w:left w:val="single" w:sz="12" w:space="0" w:color="auto"/>
              <w:bottom w:val="single" w:sz="12" w:space="0" w:color="auto"/>
              <w:right w:val="single" w:sz="12" w:space="0" w:color="auto"/>
            </w:tcBorders>
            <w:vAlign w:val="center"/>
            <w:hideMark/>
          </w:tcPr>
          <w:p w14:paraId="3C4C61DE" w14:textId="12C47A39" w:rsidR="00424A95" w:rsidRDefault="00424A95" w:rsidP="001409D8">
            <w:pPr>
              <w:spacing w:after="0" w:line="240" w:lineRule="auto"/>
              <w:jc w:val="center"/>
              <w:rPr>
                <w:szCs w:val="24"/>
              </w:rPr>
            </w:pPr>
            <w:r>
              <w:rPr>
                <w:szCs w:val="24"/>
              </w:rPr>
              <w:t>C</w:t>
            </w:r>
            <w:r w:rsidR="000C2CDA">
              <w:rPr>
                <w:szCs w:val="24"/>
              </w:rPr>
              <w:t>oPil+ Comité mixte</w:t>
            </w:r>
          </w:p>
        </w:tc>
        <w:tc>
          <w:tcPr>
            <w:tcW w:w="567" w:type="dxa"/>
            <w:tcBorders>
              <w:top w:val="single" w:sz="12" w:space="0" w:color="auto"/>
              <w:left w:val="single" w:sz="12" w:space="0" w:color="auto"/>
              <w:bottom w:val="single" w:sz="12" w:space="0" w:color="auto"/>
              <w:right w:val="single" w:sz="12" w:space="0" w:color="auto"/>
            </w:tcBorders>
            <w:noWrap/>
            <w:vAlign w:val="center"/>
            <w:hideMark/>
          </w:tcPr>
          <w:p w14:paraId="59534D40" w14:textId="77777777" w:rsidR="00424A95" w:rsidRDefault="00424A95" w:rsidP="001409D8">
            <w:pPr>
              <w:spacing w:after="0" w:line="240" w:lineRule="auto"/>
              <w:jc w:val="center"/>
              <w:rPr>
                <w:rFonts w:eastAsia="Times New Roman" w:cs="Times New Roman"/>
                <w:color w:val="000000"/>
                <w:lang w:eastAsia="fr-FR"/>
              </w:rPr>
            </w:pPr>
            <w:r>
              <w:rPr>
                <w:rFonts w:eastAsia="Times New Roman" w:cs="Times New Roman"/>
                <w:color w:val="000000"/>
                <w:lang w:eastAsia="fr-FR"/>
              </w:rPr>
              <w:t>20-30k /événement</w:t>
            </w:r>
          </w:p>
        </w:tc>
        <w:tc>
          <w:tcPr>
            <w:tcW w:w="426" w:type="dxa"/>
            <w:tcBorders>
              <w:top w:val="single" w:sz="12" w:space="0" w:color="auto"/>
              <w:left w:val="single" w:sz="12" w:space="0" w:color="auto"/>
              <w:bottom w:val="single" w:sz="12" w:space="0" w:color="auto"/>
              <w:right w:val="single" w:sz="12" w:space="0" w:color="auto"/>
            </w:tcBorders>
            <w:noWrap/>
            <w:vAlign w:val="bottom"/>
          </w:tcPr>
          <w:p w14:paraId="6BC774A7"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noWrap/>
            <w:vAlign w:val="bottom"/>
          </w:tcPr>
          <w:p w14:paraId="5DD313CA"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shd w:val="clear" w:color="auto" w:fill="FFFFFF" w:themeFill="background1"/>
            <w:noWrap/>
            <w:vAlign w:val="bottom"/>
          </w:tcPr>
          <w:p w14:paraId="11F45283" w14:textId="77777777" w:rsidR="00424A95" w:rsidRDefault="00424A95"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tcPr>
          <w:p w14:paraId="650E3564"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tcPr>
          <w:p w14:paraId="6D233A4E" w14:textId="77777777" w:rsidR="00424A95" w:rsidRDefault="00424A95"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tcPr>
          <w:p w14:paraId="7B80C1A3" w14:textId="77777777" w:rsidR="00424A95" w:rsidRDefault="00424A95"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tcPr>
          <w:p w14:paraId="15917B6F"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tcPr>
          <w:p w14:paraId="0939167D" w14:textId="77777777" w:rsidR="00424A95" w:rsidRDefault="00424A95" w:rsidP="001409D8">
            <w:pPr>
              <w:spacing w:after="0" w:line="240" w:lineRule="auto"/>
              <w:rPr>
                <w:rFonts w:eastAsia="Times New Roman" w:cs="Times New Roman"/>
                <w:color w:val="000000"/>
                <w:lang w:eastAsia="fr-FR"/>
              </w:rPr>
            </w:pPr>
          </w:p>
        </w:tc>
        <w:tc>
          <w:tcPr>
            <w:tcW w:w="426"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tcPr>
          <w:p w14:paraId="6E205F9F" w14:textId="77777777" w:rsidR="00424A95" w:rsidRDefault="00424A95"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tcPr>
          <w:p w14:paraId="6B014906"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tcPr>
          <w:p w14:paraId="2B5B6B89" w14:textId="77777777" w:rsidR="00424A95" w:rsidRDefault="00424A95"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tcPr>
          <w:p w14:paraId="6D392016" w14:textId="77777777" w:rsidR="00424A95" w:rsidRDefault="00424A95"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tcPr>
          <w:p w14:paraId="4390EA79" w14:textId="77777777" w:rsidR="00424A95" w:rsidRDefault="00424A95" w:rsidP="001409D8">
            <w:pPr>
              <w:spacing w:after="0" w:line="240" w:lineRule="auto"/>
              <w:rPr>
                <w:rFonts w:eastAsia="Times New Roman" w:cs="Times New Roman"/>
                <w:color w:val="000000"/>
                <w:lang w:eastAsia="fr-FR"/>
              </w:rPr>
            </w:pPr>
          </w:p>
        </w:tc>
        <w:tc>
          <w:tcPr>
            <w:tcW w:w="426"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tcPr>
          <w:p w14:paraId="297FEED0"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tcPr>
          <w:p w14:paraId="2BF966A6" w14:textId="77777777" w:rsidR="00424A95" w:rsidRDefault="00424A95"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shd w:val="clear" w:color="auto" w:fill="E36C0A" w:themeFill="accent6" w:themeFillShade="BF"/>
          </w:tcPr>
          <w:p w14:paraId="19E3B3EA"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shd w:val="clear" w:color="auto" w:fill="E36C0A" w:themeFill="accent6" w:themeFillShade="BF"/>
          </w:tcPr>
          <w:p w14:paraId="4F79E808" w14:textId="77777777" w:rsidR="00424A95" w:rsidRDefault="00424A95"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shd w:val="clear" w:color="auto" w:fill="E36C0A" w:themeFill="accent6" w:themeFillShade="BF"/>
          </w:tcPr>
          <w:p w14:paraId="12C75473" w14:textId="77777777" w:rsidR="00424A95" w:rsidRDefault="00424A95"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tcPr>
          <w:p w14:paraId="03FF7594"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shd w:val="clear" w:color="auto" w:fill="E36C0A" w:themeFill="accent6" w:themeFillShade="BF"/>
          </w:tcPr>
          <w:p w14:paraId="691A3853"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shd w:val="clear" w:color="auto" w:fill="E36C0A" w:themeFill="accent6" w:themeFillShade="BF"/>
          </w:tcPr>
          <w:p w14:paraId="0E142C66" w14:textId="77777777" w:rsidR="00424A95" w:rsidRDefault="00424A95" w:rsidP="001409D8">
            <w:pPr>
              <w:spacing w:after="0" w:line="240" w:lineRule="auto"/>
              <w:rPr>
                <w:rFonts w:eastAsia="Times New Roman" w:cs="Times New Roman"/>
                <w:color w:val="000000"/>
                <w:lang w:eastAsia="fr-FR"/>
              </w:rPr>
            </w:pPr>
          </w:p>
        </w:tc>
        <w:tc>
          <w:tcPr>
            <w:tcW w:w="426" w:type="dxa"/>
            <w:tcBorders>
              <w:top w:val="single" w:sz="12" w:space="0" w:color="auto"/>
              <w:left w:val="single" w:sz="12" w:space="0" w:color="auto"/>
              <w:bottom w:val="single" w:sz="12" w:space="0" w:color="auto"/>
              <w:right w:val="single" w:sz="12" w:space="0" w:color="auto"/>
            </w:tcBorders>
            <w:shd w:val="clear" w:color="auto" w:fill="E36C0A" w:themeFill="accent6" w:themeFillShade="BF"/>
          </w:tcPr>
          <w:p w14:paraId="1BC3D5A2"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shd w:val="clear" w:color="auto" w:fill="E36C0A" w:themeFill="accent6" w:themeFillShade="BF"/>
          </w:tcPr>
          <w:p w14:paraId="7C0D3104"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shd w:val="clear" w:color="auto" w:fill="E36C0A" w:themeFill="accent6" w:themeFillShade="BF"/>
          </w:tcPr>
          <w:p w14:paraId="640FFACC" w14:textId="60CB8DD6" w:rsidR="00424A95" w:rsidRDefault="00424A95" w:rsidP="001409D8">
            <w:pPr>
              <w:spacing w:after="0" w:line="240" w:lineRule="auto"/>
              <w:rPr>
                <w:rFonts w:eastAsia="Times New Roman" w:cs="Times New Roman"/>
                <w:color w:val="000000"/>
                <w:lang w:eastAsia="fr-FR"/>
              </w:rPr>
            </w:pPr>
          </w:p>
        </w:tc>
      </w:tr>
      <w:tr w:rsidR="000C2CDA" w14:paraId="3166B540" w14:textId="4630B160" w:rsidTr="000C2CDA">
        <w:trPr>
          <w:trHeight w:val="315"/>
        </w:trPr>
        <w:tc>
          <w:tcPr>
            <w:tcW w:w="191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0467A0A" w14:textId="77777777" w:rsidR="00424A95" w:rsidRDefault="00424A95" w:rsidP="001409D8">
            <w:pPr>
              <w:spacing w:after="0" w:line="240" w:lineRule="auto"/>
              <w:rPr>
                <w:szCs w:val="24"/>
              </w:rPr>
            </w:pPr>
            <w:r>
              <w:rPr>
                <w:szCs w:val="24"/>
              </w:rPr>
              <w:t>Mise en place d’un mécanisme de requête de jeux de données en ligne et de réponses</w:t>
            </w:r>
          </w:p>
        </w:tc>
        <w:tc>
          <w:tcPr>
            <w:tcW w:w="850" w:type="dxa"/>
            <w:tcBorders>
              <w:top w:val="single" w:sz="12" w:space="0" w:color="auto"/>
              <w:left w:val="single" w:sz="12" w:space="0" w:color="auto"/>
              <w:bottom w:val="single" w:sz="12" w:space="0" w:color="auto"/>
              <w:right w:val="single" w:sz="12" w:space="0" w:color="auto"/>
            </w:tcBorders>
            <w:vAlign w:val="center"/>
            <w:hideMark/>
          </w:tcPr>
          <w:p w14:paraId="6AC4B80F" w14:textId="4891EF08" w:rsidR="00424A95" w:rsidRDefault="00A113C0" w:rsidP="001409D8">
            <w:pPr>
              <w:spacing w:after="0" w:line="240" w:lineRule="auto"/>
              <w:jc w:val="center"/>
              <w:rPr>
                <w:szCs w:val="24"/>
              </w:rPr>
            </w:pPr>
            <w:r>
              <w:rPr>
                <w:szCs w:val="24"/>
              </w:rPr>
              <w:t>CoPil</w:t>
            </w:r>
          </w:p>
        </w:tc>
        <w:tc>
          <w:tcPr>
            <w:tcW w:w="567" w:type="dxa"/>
            <w:tcBorders>
              <w:top w:val="single" w:sz="12" w:space="0" w:color="auto"/>
              <w:left w:val="single" w:sz="12" w:space="0" w:color="auto"/>
              <w:bottom w:val="single" w:sz="12" w:space="0" w:color="auto"/>
              <w:right w:val="single" w:sz="12" w:space="0" w:color="auto"/>
            </w:tcBorders>
            <w:noWrap/>
            <w:vAlign w:val="center"/>
          </w:tcPr>
          <w:p w14:paraId="17D5FCE8" w14:textId="77777777" w:rsidR="00424A95" w:rsidRDefault="00424A95" w:rsidP="001409D8">
            <w:pPr>
              <w:spacing w:after="0" w:line="240" w:lineRule="auto"/>
              <w:jc w:val="center"/>
              <w:rPr>
                <w:rFonts w:eastAsia="Times New Roman" w:cs="Times New Roman"/>
                <w:color w:val="000000"/>
                <w:lang w:eastAsia="fr-FR"/>
              </w:rPr>
            </w:pPr>
          </w:p>
        </w:tc>
        <w:tc>
          <w:tcPr>
            <w:tcW w:w="426" w:type="dxa"/>
            <w:tcBorders>
              <w:top w:val="single" w:sz="12" w:space="0" w:color="auto"/>
              <w:left w:val="single" w:sz="12" w:space="0" w:color="auto"/>
              <w:bottom w:val="single" w:sz="12" w:space="0" w:color="auto"/>
              <w:right w:val="single" w:sz="12" w:space="0" w:color="auto"/>
            </w:tcBorders>
            <w:noWrap/>
            <w:vAlign w:val="bottom"/>
          </w:tcPr>
          <w:p w14:paraId="07540183"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noWrap/>
            <w:vAlign w:val="bottom"/>
          </w:tcPr>
          <w:p w14:paraId="3CCABF07"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shd w:val="clear" w:color="auto" w:fill="FFFFFF" w:themeFill="background1"/>
            <w:noWrap/>
            <w:vAlign w:val="bottom"/>
          </w:tcPr>
          <w:p w14:paraId="6BB5784E" w14:textId="77777777" w:rsidR="00424A95" w:rsidRDefault="00424A95"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tcPr>
          <w:p w14:paraId="2BD53103"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tcPr>
          <w:p w14:paraId="2CC6107D" w14:textId="77777777" w:rsidR="00424A95" w:rsidRDefault="00424A95"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tcPr>
          <w:p w14:paraId="4573616E" w14:textId="77777777" w:rsidR="00424A95" w:rsidRDefault="00424A95"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tcPr>
          <w:p w14:paraId="766D8084"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shd w:val="clear" w:color="auto" w:fill="FFFFFF" w:themeFill="background1"/>
            <w:noWrap/>
            <w:vAlign w:val="bottom"/>
          </w:tcPr>
          <w:p w14:paraId="61E833B3" w14:textId="77777777" w:rsidR="00424A95" w:rsidRDefault="00424A95" w:rsidP="001409D8">
            <w:pPr>
              <w:spacing w:after="0" w:line="240" w:lineRule="auto"/>
              <w:rPr>
                <w:rFonts w:eastAsia="Times New Roman" w:cs="Times New Roman"/>
                <w:color w:val="000000"/>
                <w:lang w:eastAsia="fr-FR"/>
              </w:rPr>
            </w:pPr>
          </w:p>
        </w:tc>
        <w:tc>
          <w:tcPr>
            <w:tcW w:w="426" w:type="dxa"/>
            <w:tcBorders>
              <w:top w:val="single" w:sz="12" w:space="0" w:color="auto"/>
              <w:left w:val="single" w:sz="12" w:space="0" w:color="auto"/>
              <w:bottom w:val="single" w:sz="12" w:space="0" w:color="auto"/>
              <w:right w:val="single" w:sz="12" w:space="0" w:color="auto"/>
            </w:tcBorders>
            <w:shd w:val="clear" w:color="auto" w:fill="FFFFFF" w:themeFill="background1"/>
            <w:noWrap/>
            <w:vAlign w:val="bottom"/>
          </w:tcPr>
          <w:p w14:paraId="24143BA9" w14:textId="77777777" w:rsidR="00424A95" w:rsidRDefault="00424A95"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shd w:val="clear" w:color="auto" w:fill="FFFFFF" w:themeFill="background1"/>
            <w:noWrap/>
            <w:vAlign w:val="bottom"/>
          </w:tcPr>
          <w:p w14:paraId="37418FDF"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shd w:val="clear" w:color="auto" w:fill="FFFFFF" w:themeFill="background1"/>
            <w:noWrap/>
            <w:vAlign w:val="bottom"/>
          </w:tcPr>
          <w:p w14:paraId="693930CE" w14:textId="77777777" w:rsidR="00424A95" w:rsidRDefault="00424A95"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shd w:val="clear" w:color="auto" w:fill="FFFFFF" w:themeFill="background1"/>
            <w:noWrap/>
            <w:vAlign w:val="bottom"/>
          </w:tcPr>
          <w:p w14:paraId="52124406" w14:textId="77777777" w:rsidR="00424A95" w:rsidRDefault="00424A95"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shd w:val="clear" w:color="auto" w:fill="FFFFFF" w:themeFill="background1"/>
            <w:noWrap/>
            <w:vAlign w:val="bottom"/>
          </w:tcPr>
          <w:p w14:paraId="21C87751" w14:textId="77777777" w:rsidR="00424A95" w:rsidRDefault="00424A95" w:rsidP="001409D8">
            <w:pPr>
              <w:spacing w:after="0" w:line="240" w:lineRule="auto"/>
              <w:rPr>
                <w:rFonts w:eastAsia="Times New Roman" w:cs="Times New Roman"/>
                <w:color w:val="000000"/>
                <w:lang w:eastAsia="fr-FR"/>
              </w:rPr>
            </w:pPr>
          </w:p>
        </w:tc>
        <w:tc>
          <w:tcPr>
            <w:tcW w:w="426" w:type="dxa"/>
            <w:tcBorders>
              <w:top w:val="single" w:sz="12" w:space="0" w:color="auto"/>
              <w:left w:val="single" w:sz="12" w:space="0" w:color="auto"/>
              <w:bottom w:val="single" w:sz="12" w:space="0" w:color="auto"/>
              <w:right w:val="single" w:sz="12" w:space="0" w:color="auto"/>
            </w:tcBorders>
            <w:shd w:val="clear" w:color="auto" w:fill="FFFFFF" w:themeFill="background1"/>
            <w:noWrap/>
            <w:vAlign w:val="bottom"/>
          </w:tcPr>
          <w:p w14:paraId="22962FCD"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noWrap/>
            <w:vAlign w:val="bottom"/>
          </w:tcPr>
          <w:p w14:paraId="76B488FC" w14:textId="77777777" w:rsidR="00424A95" w:rsidRDefault="00424A95"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tcPr>
          <w:p w14:paraId="06F830A0"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7A6E0E03" w14:textId="77777777" w:rsidR="00424A95" w:rsidRDefault="00424A95"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tcPr>
          <w:p w14:paraId="6B1C8984" w14:textId="77777777" w:rsidR="00424A95" w:rsidRDefault="00424A95"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noWrap/>
            <w:vAlign w:val="bottom"/>
          </w:tcPr>
          <w:p w14:paraId="40D473AE"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3EB2B206"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6D308FBF" w14:textId="77777777" w:rsidR="00424A95" w:rsidRDefault="00424A95" w:rsidP="001409D8">
            <w:pPr>
              <w:spacing w:after="0" w:line="240" w:lineRule="auto"/>
              <w:rPr>
                <w:rFonts w:eastAsia="Times New Roman" w:cs="Times New Roman"/>
                <w:color w:val="000000"/>
                <w:lang w:eastAsia="fr-FR"/>
              </w:rPr>
            </w:pPr>
          </w:p>
        </w:tc>
        <w:tc>
          <w:tcPr>
            <w:tcW w:w="426" w:type="dxa"/>
            <w:tcBorders>
              <w:top w:val="single" w:sz="12" w:space="0" w:color="auto"/>
              <w:left w:val="single" w:sz="12" w:space="0" w:color="auto"/>
              <w:bottom w:val="single" w:sz="12" w:space="0" w:color="auto"/>
              <w:right w:val="single" w:sz="12" w:space="0" w:color="auto"/>
            </w:tcBorders>
          </w:tcPr>
          <w:p w14:paraId="1F3BA4C0"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5232C698"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1C3AA2B6" w14:textId="4D4E5C2B" w:rsidR="00424A95" w:rsidRDefault="00424A95" w:rsidP="001409D8">
            <w:pPr>
              <w:spacing w:after="0" w:line="240" w:lineRule="auto"/>
              <w:rPr>
                <w:rFonts w:eastAsia="Times New Roman" w:cs="Times New Roman"/>
                <w:color w:val="000000"/>
                <w:lang w:eastAsia="fr-FR"/>
              </w:rPr>
            </w:pPr>
          </w:p>
        </w:tc>
      </w:tr>
      <w:tr w:rsidR="00424A95" w14:paraId="74B9A9CC" w14:textId="1A6A5F59" w:rsidTr="000C2CDA">
        <w:trPr>
          <w:trHeight w:val="375"/>
        </w:trPr>
        <w:tc>
          <w:tcPr>
            <w:tcW w:w="1915" w:type="dxa"/>
            <w:tcBorders>
              <w:top w:val="single" w:sz="12" w:space="0" w:color="auto"/>
              <w:left w:val="single" w:sz="12" w:space="0" w:color="auto"/>
              <w:bottom w:val="single" w:sz="12" w:space="0" w:color="auto"/>
              <w:right w:val="single" w:sz="12" w:space="0" w:color="auto"/>
            </w:tcBorders>
            <w:shd w:val="clear" w:color="auto" w:fill="92D050"/>
            <w:vAlign w:val="center"/>
            <w:hideMark/>
          </w:tcPr>
          <w:p w14:paraId="4C442653" w14:textId="77777777" w:rsidR="00424A95" w:rsidRDefault="00424A95" w:rsidP="001409D8">
            <w:pPr>
              <w:spacing w:after="0" w:line="240" w:lineRule="auto"/>
              <w:rPr>
                <w:rFonts w:eastAsia="Times New Roman" w:cs="Times New Roman"/>
                <w:b/>
                <w:color w:val="000000"/>
                <w:lang w:eastAsia="fr-FR"/>
              </w:rPr>
            </w:pPr>
            <w:r>
              <w:rPr>
                <w:rFonts w:eastAsia="Times New Roman" w:cs="Times New Roman"/>
                <w:b/>
                <w:color w:val="000000"/>
                <w:lang w:eastAsia="fr-FR"/>
              </w:rPr>
              <w:t>Financement</w:t>
            </w:r>
          </w:p>
        </w:tc>
        <w:tc>
          <w:tcPr>
            <w:tcW w:w="850" w:type="dxa"/>
            <w:tcBorders>
              <w:top w:val="single" w:sz="12" w:space="0" w:color="auto"/>
              <w:left w:val="single" w:sz="12" w:space="0" w:color="auto"/>
              <w:bottom w:val="single" w:sz="12" w:space="0" w:color="auto"/>
              <w:right w:val="single" w:sz="12" w:space="0" w:color="auto"/>
            </w:tcBorders>
            <w:vAlign w:val="center"/>
            <w:hideMark/>
          </w:tcPr>
          <w:p w14:paraId="6D7F2254" w14:textId="77777777" w:rsidR="00424A95" w:rsidRDefault="00424A95" w:rsidP="001409D8">
            <w:pPr>
              <w:rPr>
                <w:rFonts w:eastAsia="Times New Roman" w:cs="Times New Roman"/>
                <w:b/>
                <w:color w:val="000000"/>
                <w:lang w:eastAsia="fr-FR"/>
              </w:rPr>
            </w:pP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4154EB19"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6" w:type="dxa"/>
            <w:tcBorders>
              <w:top w:val="single" w:sz="12" w:space="0" w:color="auto"/>
              <w:left w:val="single" w:sz="12" w:space="0" w:color="auto"/>
              <w:bottom w:val="single" w:sz="12" w:space="0" w:color="auto"/>
              <w:right w:val="single" w:sz="12" w:space="0" w:color="auto"/>
            </w:tcBorders>
            <w:noWrap/>
            <w:vAlign w:val="bottom"/>
            <w:hideMark/>
          </w:tcPr>
          <w:p w14:paraId="71CBFE36"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39E45F8B"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656D83FB"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356D2926"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37D05F09"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4FDABA01"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151E9B1F"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5231B72C"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6" w:type="dxa"/>
            <w:tcBorders>
              <w:top w:val="single" w:sz="12" w:space="0" w:color="auto"/>
              <w:left w:val="single" w:sz="12" w:space="0" w:color="auto"/>
              <w:bottom w:val="single" w:sz="12" w:space="0" w:color="auto"/>
              <w:right w:val="single" w:sz="12" w:space="0" w:color="auto"/>
            </w:tcBorders>
            <w:noWrap/>
            <w:vAlign w:val="bottom"/>
            <w:hideMark/>
          </w:tcPr>
          <w:p w14:paraId="584CF4B1"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1B53FEBF"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0060B411"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18E89904"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2E42E1B5"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6" w:type="dxa"/>
            <w:tcBorders>
              <w:top w:val="single" w:sz="12" w:space="0" w:color="auto"/>
              <w:left w:val="single" w:sz="12" w:space="0" w:color="auto"/>
              <w:bottom w:val="single" w:sz="12" w:space="0" w:color="auto"/>
              <w:right w:val="single" w:sz="12" w:space="0" w:color="auto"/>
            </w:tcBorders>
            <w:noWrap/>
            <w:vAlign w:val="bottom"/>
            <w:hideMark/>
          </w:tcPr>
          <w:p w14:paraId="56D9A7E3"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770A9849"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tcPr>
          <w:p w14:paraId="6C812D24"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32ADAB66" w14:textId="77777777" w:rsidR="00424A95" w:rsidRDefault="00424A95"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tcPr>
          <w:p w14:paraId="4B95427E" w14:textId="77777777" w:rsidR="00424A95" w:rsidRDefault="00424A95"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3824BED4"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tcPr>
          <w:p w14:paraId="6DF6A27D"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6B89E84B" w14:textId="77777777" w:rsidR="00424A95" w:rsidRDefault="00424A95" w:rsidP="001409D8">
            <w:pPr>
              <w:spacing w:after="0" w:line="240" w:lineRule="auto"/>
              <w:rPr>
                <w:rFonts w:eastAsia="Times New Roman" w:cs="Times New Roman"/>
                <w:color w:val="000000"/>
                <w:lang w:eastAsia="fr-FR"/>
              </w:rPr>
            </w:pPr>
          </w:p>
        </w:tc>
        <w:tc>
          <w:tcPr>
            <w:tcW w:w="426" w:type="dxa"/>
            <w:tcBorders>
              <w:top w:val="single" w:sz="12" w:space="0" w:color="auto"/>
              <w:left w:val="single" w:sz="12" w:space="0" w:color="auto"/>
              <w:bottom w:val="single" w:sz="12" w:space="0" w:color="auto"/>
              <w:right w:val="single" w:sz="12" w:space="0" w:color="auto"/>
            </w:tcBorders>
          </w:tcPr>
          <w:p w14:paraId="0E2357CB"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03B24471"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1E13A03C" w14:textId="00F9A16B" w:rsidR="00424A95" w:rsidRDefault="00424A95" w:rsidP="001409D8">
            <w:pPr>
              <w:spacing w:after="0" w:line="240" w:lineRule="auto"/>
              <w:rPr>
                <w:rFonts w:eastAsia="Times New Roman" w:cs="Times New Roman"/>
                <w:color w:val="000000"/>
                <w:lang w:eastAsia="fr-FR"/>
              </w:rPr>
            </w:pPr>
          </w:p>
        </w:tc>
      </w:tr>
      <w:tr w:rsidR="00424A95" w14:paraId="7DB6A5FF" w14:textId="79F497F8" w:rsidTr="000C2CDA">
        <w:trPr>
          <w:trHeight w:val="315"/>
        </w:trPr>
        <w:tc>
          <w:tcPr>
            <w:tcW w:w="1915" w:type="dxa"/>
            <w:tcBorders>
              <w:top w:val="single" w:sz="12" w:space="0" w:color="auto"/>
              <w:left w:val="single" w:sz="12" w:space="0" w:color="auto"/>
              <w:bottom w:val="single" w:sz="12" w:space="0" w:color="auto"/>
              <w:right w:val="single" w:sz="12" w:space="0" w:color="auto"/>
            </w:tcBorders>
            <w:shd w:val="clear" w:color="auto" w:fill="FFFF00"/>
            <w:vAlign w:val="center"/>
            <w:hideMark/>
          </w:tcPr>
          <w:p w14:paraId="11B3EEB3"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ACTIONS A COURT TERME</w:t>
            </w:r>
          </w:p>
        </w:tc>
        <w:tc>
          <w:tcPr>
            <w:tcW w:w="850" w:type="dxa"/>
            <w:tcBorders>
              <w:top w:val="single" w:sz="12" w:space="0" w:color="auto"/>
              <w:left w:val="single" w:sz="12" w:space="0" w:color="auto"/>
              <w:bottom w:val="single" w:sz="12" w:space="0" w:color="auto"/>
              <w:right w:val="single" w:sz="12" w:space="0" w:color="auto"/>
            </w:tcBorders>
            <w:vAlign w:val="center"/>
            <w:hideMark/>
          </w:tcPr>
          <w:p w14:paraId="3ED8F89B" w14:textId="77777777" w:rsidR="00424A95" w:rsidRDefault="00424A95" w:rsidP="001409D8">
            <w:pPr>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24C63943"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6" w:type="dxa"/>
            <w:tcBorders>
              <w:top w:val="single" w:sz="12" w:space="0" w:color="auto"/>
              <w:left w:val="single" w:sz="12" w:space="0" w:color="auto"/>
              <w:bottom w:val="single" w:sz="12" w:space="0" w:color="auto"/>
              <w:right w:val="single" w:sz="12" w:space="0" w:color="auto"/>
            </w:tcBorders>
            <w:noWrap/>
            <w:vAlign w:val="bottom"/>
            <w:hideMark/>
          </w:tcPr>
          <w:p w14:paraId="638F88D8"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1481A794"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1194DD4C"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16FA78D0"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21F992FD"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7E88BC10"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5EA3AEF1"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487B3A94"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6" w:type="dxa"/>
            <w:tcBorders>
              <w:top w:val="single" w:sz="12" w:space="0" w:color="auto"/>
              <w:left w:val="single" w:sz="12" w:space="0" w:color="auto"/>
              <w:bottom w:val="single" w:sz="12" w:space="0" w:color="auto"/>
              <w:right w:val="single" w:sz="12" w:space="0" w:color="auto"/>
            </w:tcBorders>
            <w:noWrap/>
            <w:vAlign w:val="bottom"/>
            <w:hideMark/>
          </w:tcPr>
          <w:p w14:paraId="3A83103D"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5112D125"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59EE623D"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293BAA49"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71006A1D"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6" w:type="dxa"/>
            <w:tcBorders>
              <w:top w:val="single" w:sz="12" w:space="0" w:color="auto"/>
              <w:left w:val="single" w:sz="12" w:space="0" w:color="auto"/>
              <w:bottom w:val="single" w:sz="12" w:space="0" w:color="auto"/>
              <w:right w:val="single" w:sz="12" w:space="0" w:color="auto"/>
            </w:tcBorders>
            <w:noWrap/>
            <w:vAlign w:val="bottom"/>
            <w:hideMark/>
          </w:tcPr>
          <w:p w14:paraId="37F3D232"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1FD3A527"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tcPr>
          <w:p w14:paraId="15738C9B"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0CE5DC12" w14:textId="77777777" w:rsidR="00424A95" w:rsidRDefault="00424A95"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tcPr>
          <w:p w14:paraId="69385622" w14:textId="77777777" w:rsidR="00424A95" w:rsidRDefault="00424A95"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314D4E03"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tcPr>
          <w:p w14:paraId="7281DE40"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62306E0B" w14:textId="77777777" w:rsidR="00424A95" w:rsidRDefault="00424A95" w:rsidP="001409D8">
            <w:pPr>
              <w:spacing w:after="0" w:line="240" w:lineRule="auto"/>
              <w:rPr>
                <w:rFonts w:eastAsia="Times New Roman" w:cs="Times New Roman"/>
                <w:color w:val="000000"/>
                <w:lang w:eastAsia="fr-FR"/>
              </w:rPr>
            </w:pPr>
          </w:p>
        </w:tc>
        <w:tc>
          <w:tcPr>
            <w:tcW w:w="426" w:type="dxa"/>
            <w:tcBorders>
              <w:top w:val="single" w:sz="12" w:space="0" w:color="auto"/>
              <w:left w:val="single" w:sz="12" w:space="0" w:color="auto"/>
              <w:bottom w:val="single" w:sz="12" w:space="0" w:color="auto"/>
              <w:right w:val="single" w:sz="12" w:space="0" w:color="auto"/>
            </w:tcBorders>
          </w:tcPr>
          <w:p w14:paraId="7B0BE619"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18368C12"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34EBD2E2" w14:textId="68F849DD" w:rsidR="00424A95" w:rsidRDefault="00424A95" w:rsidP="001409D8">
            <w:pPr>
              <w:spacing w:after="0" w:line="240" w:lineRule="auto"/>
              <w:rPr>
                <w:rFonts w:eastAsia="Times New Roman" w:cs="Times New Roman"/>
                <w:color w:val="000000"/>
                <w:lang w:eastAsia="fr-FR"/>
              </w:rPr>
            </w:pPr>
          </w:p>
        </w:tc>
      </w:tr>
      <w:tr w:rsidR="00424A95" w14:paraId="760A11DF" w14:textId="6A0D9DA2" w:rsidTr="00A113C0">
        <w:trPr>
          <w:trHeight w:val="1500"/>
        </w:trPr>
        <w:tc>
          <w:tcPr>
            <w:tcW w:w="1915" w:type="dxa"/>
            <w:tcBorders>
              <w:top w:val="single" w:sz="12" w:space="0" w:color="auto"/>
              <w:left w:val="single" w:sz="12" w:space="0" w:color="auto"/>
              <w:bottom w:val="single" w:sz="12" w:space="0" w:color="auto"/>
              <w:right w:val="single" w:sz="12" w:space="0" w:color="auto"/>
            </w:tcBorders>
            <w:vAlign w:val="center"/>
            <w:hideMark/>
          </w:tcPr>
          <w:p w14:paraId="630B30D4" w14:textId="737FDBE7" w:rsidR="00424A95" w:rsidRDefault="00424A95" w:rsidP="001409D8">
            <w:pPr>
              <w:spacing w:after="0" w:line="240" w:lineRule="auto"/>
              <w:rPr>
                <w:rFonts w:eastAsia="Times New Roman" w:cs="Times New Roman"/>
                <w:color w:val="000000"/>
                <w:lang w:eastAsia="fr-FR"/>
              </w:rPr>
            </w:pPr>
            <w:r>
              <w:rPr>
                <w:szCs w:val="24"/>
              </w:rPr>
              <w:t>Identification de budget et de re</w:t>
            </w:r>
            <w:r w:rsidR="00A113C0">
              <w:rPr>
                <w:szCs w:val="24"/>
              </w:rPr>
              <w:t xml:space="preserve">ssources humaines au sein de l’UAE, des membres du CoPil </w:t>
            </w:r>
            <w:r>
              <w:rPr>
                <w:szCs w:val="24"/>
              </w:rPr>
              <w:t>et des premières agence</w:t>
            </w:r>
            <w:r w:rsidR="002E60D1">
              <w:rPr>
                <w:szCs w:val="24"/>
              </w:rPr>
              <w:t>s</w:t>
            </w:r>
            <w:r>
              <w:rPr>
                <w:szCs w:val="24"/>
              </w:rPr>
              <w:t xml:space="preserve"> sélectionnées pour l’organisation des activités de sensibilisation, installation, formation et renforcement de capacités, nettoyage et publication des données, etc.</w:t>
            </w:r>
          </w:p>
        </w:tc>
        <w:tc>
          <w:tcPr>
            <w:tcW w:w="850" w:type="dxa"/>
            <w:tcBorders>
              <w:top w:val="single" w:sz="12" w:space="0" w:color="auto"/>
              <w:left w:val="single" w:sz="12" w:space="0" w:color="auto"/>
              <w:bottom w:val="single" w:sz="12" w:space="0" w:color="auto"/>
              <w:right w:val="single" w:sz="12" w:space="0" w:color="auto"/>
            </w:tcBorders>
            <w:vAlign w:val="center"/>
            <w:hideMark/>
          </w:tcPr>
          <w:p w14:paraId="3F5D2555" w14:textId="16E0A079" w:rsidR="00424A95" w:rsidRDefault="00A113C0" w:rsidP="001409D8">
            <w:pPr>
              <w:spacing w:after="0" w:line="240" w:lineRule="auto"/>
              <w:jc w:val="center"/>
              <w:rPr>
                <w:rFonts w:eastAsia="Times New Roman" w:cs="Times New Roman"/>
                <w:color w:val="000000"/>
                <w:lang w:eastAsia="fr-FR"/>
              </w:rPr>
            </w:pPr>
            <w:r>
              <w:rPr>
                <w:szCs w:val="24"/>
              </w:rPr>
              <w:t>UAE</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736E126E"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6"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hideMark/>
          </w:tcPr>
          <w:p w14:paraId="60C5FD05"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hideMark/>
          </w:tcPr>
          <w:p w14:paraId="26889AC9"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hideMark/>
          </w:tcPr>
          <w:p w14:paraId="57625B93"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735FEA2B"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41A776AC"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5080727C"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6AB4DC41"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3772A851"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6" w:type="dxa"/>
            <w:tcBorders>
              <w:top w:val="single" w:sz="12" w:space="0" w:color="auto"/>
              <w:left w:val="single" w:sz="12" w:space="0" w:color="auto"/>
              <w:bottom w:val="single" w:sz="12" w:space="0" w:color="auto"/>
              <w:right w:val="single" w:sz="12" w:space="0" w:color="auto"/>
            </w:tcBorders>
            <w:noWrap/>
            <w:vAlign w:val="bottom"/>
            <w:hideMark/>
          </w:tcPr>
          <w:p w14:paraId="44B00B2F"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30A9E929"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016290A2"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3D5335F3"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3C496D5E"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6" w:type="dxa"/>
            <w:tcBorders>
              <w:top w:val="single" w:sz="12" w:space="0" w:color="auto"/>
              <w:left w:val="single" w:sz="12" w:space="0" w:color="auto"/>
              <w:bottom w:val="single" w:sz="12" w:space="0" w:color="auto"/>
              <w:right w:val="single" w:sz="12" w:space="0" w:color="auto"/>
            </w:tcBorders>
            <w:noWrap/>
            <w:vAlign w:val="bottom"/>
            <w:hideMark/>
          </w:tcPr>
          <w:p w14:paraId="67F57607"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4EBDE44D"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tcPr>
          <w:p w14:paraId="65EC3E2E"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331A4D3E" w14:textId="77777777" w:rsidR="00424A95" w:rsidRDefault="00424A95"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tcPr>
          <w:p w14:paraId="131217E5" w14:textId="77777777" w:rsidR="00424A95" w:rsidRDefault="00424A95"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382B73E6"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tcPr>
          <w:p w14:paraId="3483E061"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01E08069" w14:textId="77777777" w:rsidR="00424A95" w:rsidRDefault="00424A95" w:rsidP="001409D8">
            <w:pPr>
              <w:spacing w:after="0" w:line="240" w:lineRule="auto"/>
              <w:rPr>
                <w:rFonts w:eastAsia="Times New Roman" w:cs="Times New Roman"/>
                <w:color w:val="000000"/>
                <w:lang w:eastAsia="fr-FR"/>
              </w:rPr>
            </w:pPr>
          </w:p>
        </w:tc>
        <w:tc>
          <w:tcPr>
            <w:tcW w:w="426" w:type="dxa"/>
            <w:tcBorders>
              <w:top w:val="single" w:sz="12" w:space="0" w:color="auto"/>
              <w:left w:val="single" w:sz="12" w:space="0" w:color="auto"/>
              <w:bottom w:val="single" w:sz="12" w:space="0" w:color="auto"/>
              <w:right w:val="single" w:sz="12" w:space="0" w:color="auto"/>
            </w:tcBorders>
          </w:tcPr>
          <w:p w14:paraId="6C593381"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76D96F86"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54B42B33" w14:textId="7FA84E86" w:rsidR="00424A95" w:rsidRDefault="00424A95" w:rsidP="001409D8">
            <w:pPr>
              <w:spacing w:after="0" w:line="240" w:lineRule="auto"/>
              <w:rPr>
                <w:rFonts w:eastAsia="Times New Roman" w:cs="Times New Roman"/>
                <w:color w:val="000000"/>
                <w:lang w:eastAsia="fr-FR"/>
              </w:rPr>
            </w:pPr>
          </w:p>
        </w:tc>
      </w:tr>
      <w:tr w:rsidR="00424A95" w14:paraId="03521728" w14:textId="71E5BB79" w:rsidTr="00A113C0">
        <w:trPr>
          <w:trHeight w:val="1500"/>
        </w:trPr>
        <w:tc>
          <w:tcPr>
            <w:tcW w:w="1915" w:type="dxa"/>
            <w:tcBorders>
              <w:top w:val="single" w:sz="12" w:space="0" w:color="auto"/>
              <w:left w:val="single" w:sz="12" w:space="0" w:color="auto"/>
              <w:bottom w:val="single" w:sz="12" w:space="0" w:color="auto"/>
              <w:right w:val="single" w:sz="12" w:space="0" w:color="auto"/>
            </w:tcBorders>
            <w:vAlign w:val="center"/>
            <w:hideMark/>
          </w:tcPr>
          <w:p w14:paraId="7B5C979C" w14:textId="5EA0619D" w:rsidR="00424A95" w:rsidRDefault="00424A95" w:rsidP="001409D8">
            <w:pPr>
              <w:spacing w:after="0" w:line="240" w:lineRule="auto"/>
              <w:rPr>
                <w:rFonts w:eastAsia="Times New Roman" w:cs="Times New Roman"/>
                <w:color w:val="000000"/>
                <w:lang w:eastAsia="fr-FR"/>
              </w:rPr>
            </w:pPr>
            <w:r>
              <w:rPr>
                <w:szCs w:val="24"/>
              </w:rPr>
              <w:t xml:space="preserve">Identification des donneurs ou des projets en cours pouvant financer le lancement de l’initiative </w:t>
            </w:r>
          </w:p>
        </w:tc>
        <w:tc>
          <w:tcPr>
            <w:tcW w:w="850" w:type="dxa"/>
            <w:tcBorders>
              <w:top w:val="single" w:sz="12" w:space="0" w:color="auto"/>
              <w:left w:val="single" w:sz="12" w:space="0" w:color="auto"/>
              <w:bottom w:val="single" w:sz="12" w:space="0" w:color="auto"/>
              <w:right w:val="single" w:sz="12" w:space="0" w:color="auto"/>
            </w:tcBorders>
            <w:vAlign w:val="center"/>
            <w:hideMark/>
          </w:tcPr>
          <w:p w14:paraId="2A3148C3" w14:textId="133361DA" w:rsidR="00424A95" w:rsidRDefault="00A113C0" w:rsidP="001409D8">
            <w:pPr>
              <w:spacing w:after="0" w:line="240" w:lineRule="auto"/>
              <w:jc w:val="center"/>
              <w:rPr>
                <w:rFonts w:eastAsia="Times New Roman" w:cs="Times New Roman"/>
                <w:color w:val="000000"/>
                <w:lang w:eastAsia="fr-FR"/>
              </w:rPr>
            </w:pPr>
            <w:r>
              <w:rPr>
                <w:szCs w:val="24"/>
              </w:rPr>
              <w:t>UAE+ CoPil</w:t>
            </w:r>
          </w:p>
        </w:tc>
        <w:tc>
          <w:tcPr>
            <w:tcW w:w="567" w:type="dxa"/>
            <w:tcBorders>
              <w:top w:val="single" w:sz="12" w:space="0" w:color="auto"/>
              <w:left w:val="single" w:sz="12" w:space="0" w:color="auto"/>
              <w:bottom w:val="single" w:sz="12" w:space="0" w:color="auto"/>
              <w:right w:val="single" w:sz="12" w:space="0" w:color="auto"/>
            </w:tcBorders>
            <w:noWrap/>
            <w:vAlign w:val="bottom"/>
          </w:tcPr>
          <w:p w14:paraId="3FC13BE1" w14:textId="77777777" w:rsidR="00424A95" w:rsidRDefault="00424A95" w:rsidP="001409D8">
            <w:pPr>
              <w:spacing w:after="0" w:line="240" w:lineRule="auto"/>
              <w:rPr>
                <w:rFonts w:eastAsia="Times New Roman" w:cs="Times New Roman"/>
                <w:color w:val="000000"/>
                <w:lang w:eastAsia="fr-FR"/>
              </w:rPr>
            </w:pPr>
          </w:p>
        </w:tc>
        <w:tc>
          <w:tcPr>
            <w:tcW w:w="426" w:type="dxa"/>
            <w:tcBorders>
              <w:top w:val="single" w:sz="12" w:space="0" w:color="auto"/>
              <w:left w:val="single" w:sz="12" w:space="0" w:color="auto"/>
              <w:bottom w:val="single" w:sz="12" w:space="0" w:color="auto"/>
              <w:right w:val="single" w:sz="12" w:space="0" w:color="auto"/>
            </w:tcBorders>
            <w:shd w:val="clear" w:color="auto" w:fill="FFFFFF" w:themeFill="background1"/>
            <w:noWrap/>
            <w:vAlign w:val="bottom"/>
          </w:tcPr>
          <w:p w14:paraId="7322F4D0"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shd w:val="clear" w:color="auto" w:fill="FFFFFF" w:themeFill="background1"/>
            <w:noWrap/>
            <w:vAlign w:val="bottom"/>
          </w:tcPr>
          <w:p w14:paraId="1F16B3BE"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tcPr>
          <w:p w14:paraId="52818E87" w14:textId="77777777" w:rsidR="00424A95" w:rsidRDefault="00424A95"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tcPr>
          <w:p w14:paraId="4F45A87C"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tcPr>
          <w:p w14:paraId="3E5D75EA" w14:textId="77777777" w:rsidR="00424A95" w:rsidRDefault="00424A95"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tcPr>
          <w:p w14:paraId="228155D2" w14:textId="77777777" w:rsidR="00424A95" w:rsidRDefault="00424A95"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tcPr>
          <w:p w14:paraId="56C61B86"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tcPr>
          <w:p w14:paraId="091AD367" w14:textId="77777777" w:rsidR="00424A95" w:rsidRDefault="00424A95" w:rsidP="001409D8">
            <w:pPr>
              <w:spacing w:after="0" w:line="240" w:lineRule="auto"/>
              <w:rPr>
                <w:rFonts w:eastAsia="Times New Roman" w:cs="Times New Roman"/>
                <w:color w:val="000000"/>
                <w:lang w:eastAsia="fr-FR"/>
              </w:rPr>
            </w:pPr>
          </w:p>
        </w:tc>
        <w:tc>
          <w:tcPr>
            <w:tcW w:w="426" w:type="dxa"/>
            <w:tcBorders>
              <w:top w:val="single" w:sz="12" w:space="0" w:color="auto"/>
              <w:left w:val="single" w:sz="12" w:space="0" w:color="auto"/>
              <w:bottom w:val="single" w:sz="12" w:space="0" w:color="auto"/>
              <w:right w:val="single" w:sz="12" w:space="0" w:color="auto"/>
            </w:tcBorders>
            <w:shd w:val="clear" w:color="auto" w:fill="FFFFFF" w:themeFill="background1"/>
            <w:noWrap/>
            <w:vAlign w:val="bottom"/>
          </w:tcPr>
          <w:p w14:paraId="652CC339" w14:textId="77777777" w:rsidR="00424A95" w:rsidRDefault="00424A95"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noWrap/>
            <w:vAlign w:val="bottom"/>
          </w:tcPr>
          <w:p w14:paraId="014A5361"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noWrap/>
            <w:vAlign w:val="bottom"/>
          </w:tcPr>
          <w:p w14:paraId="1B6D5268" w14:textId="77777777" w:rsidR="00424A95" w:rsidRDefault="00424A95"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noWrap/>
            <w:vAlign w:val="bottom"/>
          </w:tcPr>
          <w:p w14:paraId="4BFF3307" w14:textId="77777777" w:rsidR="00424A95" w:rsidRDefault="00424A95"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noWrap/>
            <w:vAlign w:val="bottom"/>
          </w:tcPr>
          <w:p w14:paraId="18557152" w14:textId="77777777" w:rsidR="00424A95" w:rsidRDefault="00424A95" w:rsidP="001409D8">
            <w:pPr>
              <w:spacing w:after="0" w:line="240" w:lineRule="auto"/>
              <w:rPr>
                <w:rFonts w:eastAsia="Times New Roman" w:cs="Times New Roman"/>
                <w:color w:val="000000"/>
                <w:lang w:eastAsia="fr-FR"/>
              </w:rPr>
            </w:pPr>
          </w:p>
        </w:tc>
        <w:tc>
          <w:tcPr>
            <w:tcW w:w="426" w:type="dxa"/>
            <w:tcBorders>
              <w:top w:val="single" w:sz="12" w:space="0" w:color="auto"/>
              <w:left w:val="single" w:sz="12" w:space="0" w:color="auto"/>
              <w:bottom w:val="single" w:sz="12" w:space="0" w:color="auto"/>
              <w:right w:val="single" w:sz="12" w:space="0" w:color="auto"/>
            </w:tcBorders>
            <w:noWrap/>
            <w:vAlign w:val="bottom"/>
          </w:tcPr>
          <w:p w14:paraId="20E90373"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noWrap/>
            <w:vAlign w:val="bottom"/>
          </w:tcPr>
          <w:p w14:paraId="26361025" w14:textId="77777777" w:rsidR="00424A95" w:rsidRDefault="00424A95"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tcPr>
          <w:p w14:paraId="03162C38"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04AB0C7B" w14:textId="77777777" w:rsidR="00424A95" w:rsidRDefault="00424A95"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tcPr>
          <w:p w14:paraId="310A7DA3" w14:textId="77777777" w:rsidR="00424A95" w:rsidRDefault="00424A95"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noWrap/>
            <w:vAlign w:val="bottom"/>
          </w:tcPr>
          <w:p w14:paraId="7A82B476"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39EDC6FA"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62C34EF0" w14:textId="77777777" w:rsidR="00424A95" w:rsidRDefault="00424A95" w:rsidP="001409D8">
            <w:pPr>
              <w:spacing w:after="0" w:line="240" w:lineRule="auto"/>
              <w:rPr>
                <w:rFonts w:eastAsia="Times New Roman" w:cs="Times New Roman"/>
                <w:color w:val="000000"/>
                <w:lang w:eastAsia="fr-FR"/>
              </w:rPr>
            </w:pPr>
          </w:p>
        </w:tc>
        <w:tc>
          <w:tcPr>
            <w:tcW w:w="426" w:type="dxa"/>
            <w:tcBorders>
              <w:top w:val="single" w:sz="12" w:space="0" w:color="auto"/>
              <w:left w:val="single" w:sz="12" w:space="0" w:color="auto"/>
              <w:bottom w:val="single" w:sz="12" w:space="0" w:color="auto"/>
              <w:right w:val="single" w:sz="12" w:space="0" w:color="auto"/>
            </w:tcBorders>
          </w:tcPr>
          <w:p w14:paraId="3A86FC3C"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0820D77D"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580E4C2C" w14:textId="0E9869D5" w:rsidR="00424A95" w:rsidRDefault="00424A95" w:rsidP="001409D8">
            <w:pPr>
              <w:spacing w:after="0" w:line="240" w:lineRule="auto"/>
              <w:rPr>
                <w:rFonts w:eastAsia="Times New Roman" w:cs="Times New Roman"/>
                <w:color w:val="000000"/>
                <w:lang w:eastAsia="fr-FR"/>
              </w:rPr>
            </w:pPr>
          </w:p>
        </w:tc>
      </w:tr>
      <w:tr w:rsidR="00424A95" w14:paraId="2839DAE8" w14:textId="22D17893" w:rsidTr="000C2CDA">
        <w:trPr>
          <w:trHeight w:val="750"/>
        </w:trPr>
        <w:tc>
          <w:tcPr>
            <w:tcW w:w="1915" w:type="dxa"/>
            <w:tcBorders>
              <w:top w:val="single" w:sz="12" w:space="0" w:color="auto"/>
              <w:left w:val="single" w:sz="12" w:space="0" w:color="auto"/>
              <w:bottom w:val="single" w:sz="12" w:space="0" w:color="auto"/>
              <w:right w:val="single" w:sz="12" w:space="0" w:color="auto"/>
            </w:tcBorders>
            <w:shd w:val="clear" w:color="auto" w:fill="92D050"/>
            <w:vAlign w:val="center"/>
            <w:hideMark/>
          </w:tcPr>
          <w:p w14:paraId="7F4F1432" w14:textId="77777777" w:rsidR="00424A95" w:rsidRDefault="00424A95" w:rsidP="001409D8">
            <w:pPr>
              <w:spacing w:after="0" w:line="240" w:lineRule="auto"/>
              <w:rPr>
                <w:rFonts w:eastAsia="Times New Roman" w:cs="Times New Roman"/>
                <w:b/>
                <w:color w:val="000000"/>
                <w:lang w:eastAsia="fr-FR"/>
              </w:rPr>
            </w:pPr>
            <w:r>
              <w:rPr>
                <w:rFonts w:cs="Calibri"/>
                <w:b/>
                <w:color w:val="000000"/>
              </w:rPr>
              <w:t>Infrastructures nationales technologiques et compétences informatiques</w:t>
            </w:r>
          </w:p>
        </w:tc>
        <w:tc>
          <w:tcPr>
            <w:tcW w:w="850" w:type="dxa"/>
            <w:tcBorders>
              <w:top w:val="single" w:sz="12" w:space="0" w:color="auto"/>
              <w:left w:val="single" w:sz="12" w:space="0" w:color="auto"/>
              <w:bottom w:val="single" w:sz="12" w:space="0" w:color="auto"/>
              <w:right w:val="single" w:sz="12" w:space="0" w:color="auto"/>
            </w:tcBorders>
            <w:vAlign w:val="center"/>
            <w:hideMark/>
          </w:tcPr>
          <w:p w14:paraId="17C6CAFD" w14:textId="77777777" w:rsidR="00424A95" w:rsidRDefault="00424A95" w:rsidP="001409D8">
            <w:pPr>
              <w:rPr>
                <w:rFonts w:eastAsia="Times New Roman" w:cs="Times New Roman"/>
                <w:b/>
                <w:color w:val="000000"/>
                <w:lang w:eastAsia="fr-FR"/>
              </w:rPr>
            </w:pP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40660A07"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6" w:type="dxa"/>
            <w:tcBorders>
              <w:top w:val="single" w:sz="12" w:space="0" w:color="auto"/>
              <w:left w:val="single" w:sz="12" w:space="0" w:color="auto"/>
              <w:bottom w:val="single" w:sz="12" w:space="0" w:color="auto"/>
              <w:right w:val="single" w:sz="12" w:space="0" w:color="auto"/>
            </w:tcBorders>
            <w:noWrap/>
            <w:vAlign w:val="bottom"/>
            <w:hideMark/>
          </w:tcPr>
          <w:p w14:paraId="259B7846"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5861E514"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507219EB"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4459345F"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2D3AFED9"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4B4F989B"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479E60FA"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21FB3B87"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6" w:type="dxa"/>
            <w:tcBorders>
              <w:top w:val="single" w:sz="12" w:space="0" w:color="auto"/>
              <w:left w:val="single" w:sz="12" w:space="0" w:color="auto"/>
              <w:bottom w:val="single" w:sz="12" w:space="0" w:color="auto"/>
              <w:right w:val="single" w:sz="12" w:space="0" w:color="auto"/>
            </w:tcBorders>
            <w:noWrap/>
            <w:vAlign w:val="bottom"/>
            <w:hideMark/>
          </w:tcPr>
          <w:p w14:paraId="3E276251"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07F380B7"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239DA44E"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71B5042C"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486E02E5"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6" w:type="dxa"/>
            <w:tcBorders>
              <w:top w:val="single" w:sz="12" w:space="0" w:color="auto"/>
              <w:left w:val="single" w:sz="12" w:space="0" w:color="auto"/>
              <w:bottom w:val="single" w:sz="12" w:space="0" w:color="auto"/>
              <w:right w:val="single" w:sz="12" w:space="0" w:color="auto"/>
            </w:tcBorders>
            <w:noWrap/>
            <w:vAlign w:val="bottom"/>
            <w:hideMark/>
          </w:tcPr>
          <w:p w14:paraId="3F71EF39"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10F323FE"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tcPr>
          <w:p w14:paraId="5AB88949"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74779054" w14:textId="77777777" w:rsidR="00424A95" w:rsidRDefault="00424A95"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tcPr>
          <w:p w14:paraId="29E8EC6A" w14:textId="77777777" w:rsidR="00424A95" w:rsidRDefault="00424A95"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67C268C2"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tcPr>
          <w:p w14:paraId="33D87A54"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2A5916B9" w14:textId="77777777" w:rsidR="00424A95" w:rsidRDefault="00424A95" w:rsidP="001409D8">
            <w:pPr>
              <w:spacing w:after="0" w:line="240" w:lineRule="auto"/>
              <w:rPr>
                <w:rFonts w:eastAsia="Times New Roman" w:cs="Times New Roman"/>
                <w:color w:val="000000"/>
                <w:lang w:eastAsia="fr-FR"/>
              </w:rPr>
            </w:pPr>
          </w:p>
        </w:tc>
        <w:tc>
          <w:tcPr>
            <w:tcW w:w="426" w:type="dxa"/>
            <w:tcBorders>
              <w:top w:val="single" w:sz="12" w:space="0" w:color="auto"/>
              <w:left w:val="single" w:sz="12" w:space="0" w:color="auto"/>
              <w:bottom w:val="single" w:sz="12" w:space="0" w:color="auto"/>
              <w:right w:val="single" w:sz="12" w:space="0" w:color="auto"/>
            </w:tcBorders>
          </w:tcPr>
          <w:p w14:paraId="4D23771F"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2B9C622E"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17351603" w14:textId="6EF79858" w:rsidR="00424A95" w:rsidRDefault="00424A95" w:rsidP="001409D8">
            <w:pPr>
              <w:spacing w:after="0" w:line="240" w:lineRule="auto"/>
              <w:rPr>
                <w:rFonts w:eastAsia="Times New Roman" w:cs="Times New Roman"/>
                <w:color w:val="000000"/>
                <w:lang w:eastAsia="fr-FR"/>
              </w:rPr>
            </w:pPr>
          </w:p>
        </w:tc>
      </w:tr>
      <w:tr w:rsidR="00424A95" w14:paraId="29A10B29" w14:textId="27653AA3" w:rsidTr="000C2CDA">
        <w:trPr>
          <w:trHeight w:val="315"/>
        </w:trPr>
        <w:tc>
          <w:tcPr>
            <w:tcW w:w="1915" w:type="dxa"/>
            <w:tcBorders>
              <w:top w:val="single" w:sz="12" w:space="0" w:color="auto"/>
              <w:left w:val="single" w:sz="12" w:space="0" w:color="auto"/>
              <w:bottom w:val="single" w:sz="12" w:space="0" w:color="auto"/>
              <w:right w:val="single" w:sz="12" w:space="0" w:color="auto"/>
            </w:tcBorders>
            <w:shd w:val="clear" w:color="auto" w:fill="FFFF00"/>
            <w:vAlign w:val="center"/>
            <w:hideMark/>
          </w:tcPr>
          <w:p w14:paraId="4E8FB67F"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ACTIONS A COURT TERME</w:t>
            </w:r>
          </w:p>
        </w:tc>
        <w:tc>
          <w:tcPr>
            <w:tcW w:w="850" w:type="dxa"/>
            <w:tcBorders>
              <w:top w:val="single" w:sz="12" w:space="0" w:color="auto"/>
              <w:left w:val="single" w:sz="12" w:space="0" w:color="auto"/>
              <w:bottom w:val="single" w:sz="12" w:space="0" w:color="auto"/>
              <w:right w:val="single" w:sz="12" w:space="0" w:color="auto"/>
            </w:tcBorders>
            <w:vAlign w:val="center"/>
            <w:hideMark/>
          </w:tcPr>
          <w:p w14:paraId="7A58F329" w14:textId="77777777" w:rsidR="00424A95" w:rsidRDefault="00424A95" w:rsidP="001409D8">
            <w:pPr>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4175619B"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6" w:type="dxa"/>
            <w:tcBorders>
              <w:top w:val="single" w:sz="12" w:space="0" w:color="auto"/>
              <w:left w:val="single" w:sz="12" w:space="0" w:color="auto"/>
              <w:bottom w:val="single" w:sz="12" w:space="0" w:color="auto"/>
              <w:right w:val="single" w:sz="12" w:space="0" w:color="auto"/>
            </w:tcBorders>
            <w:noWrap/>
            <w:vAlign w:val="bottom"/>
            <w:hideMark/>
          </w:tcPr>
          <w:p w14:paraId="4F2E5EEF"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40FCD8AE"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1AA626A7"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7325A49D"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062913F9"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70EFF186"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4011991E"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7E2BDC0D"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6" w:type="dxa"/>
            <w:tcBorders>
              <w:top w:val="single" w:sz="12" w:space="0" w:color="auto"/>
              <w:left w:val="single" w:sz="12" w:space="0" w:color="auto"/>
              <w:bottom w:val="single" w:sz="12" w:space="0" w:color="auto"/>
              <w:right w:val="single" w:sz="12" w:space="0" w:color="auto"/>
            </w:tcBorders>
            <w:noWrap/>
            <w:vAlign w:val="bottom"/>
            <w:hideMark/>
          </w:tcPr>
          <w:p w14:paraId="73A5DBDA"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3CF02139"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63375841"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5D419991"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38AD355B"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6" w:type="dxa"/>
            <w:tcBorders>
              <w:top w:val="single" w:sz="12" w:space="0" w:color="auto"/>
              <w:left w:val="single" w:sz="12" w:space="0" w:color="auto"/>
              <w:bottom w:val="single" w:sz="12" w:space="0" w:color="auto"/>
              <w:right w:val="single" w:sz="12" w:space="0" w:color="auto"/>
            </w:tcBorders>
            <w:noWrap/>
            <w:vAlign w:val="bottom"/>
            <w:hideMark/>
          </w:tcPr>
          <w:p w14:paraId="67E4AA30"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4A61F43D"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tcPr>
          <w:p w14:paraId="2AE3AB38"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7B2C3BC3" w14:textId="77777777" w:rsidR="00424A95" w:rsidRDefault="00424A95"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tcPr>
          <w:p w14:paraId="6AFD9F6C" w14:textId="77777777" w:rsidR="00424A95" w:rsidRDefault="00424A95"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1ED9EE8B"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tcPr>
          <w:p w14:paraId="451384F9"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6BAC239A" w14:textId="77777777" w:rsidR="00424A95" w:rsidRDefault="00424A95" w:rsidP="001409D8">
            <w:pPr>
              <w:spacing w:after="0" w:line="240" w:lineRule="auto"/>
              <w:rPr>
                <w:rFonts w:eastAsia="Times New Roman" w:cs="Times New Roman"/>
                <w:color w:val="000000"/>
                <w:lang w:eastAsia="fr-FR"/>
              </w:rPr>
            </w:pPr>
          </w:p>
        </w:tc>
        <w:tc>
          <w:tcPr>
            <w:tcW w:w="426" w:type="dxa"/>
            <w:tcBorders>
              <w:top w:val="single" w:sz="12" w:space="0" w:color="auto"/>
              <w:left w:val="single" w:sz="12" w:space="0" w:color="auto"/>
              <w:bottom w:val="single" w:sz="12" w:space="0" w:color="auto"/>
              <w:right w:val="single" w:sz="12" w:space="0" w:color="auto"/>
            </w:tcBorders>
          </w:tcPr>
          <w:p w14:paraId="156601AD"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2B609C0A"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5CE65FF3" w14:textId="296F3C14" w:rsidR="00424A95" w:rsidRDefault="00424A95" w:rsidP="001409D8">
            <w:pPr>
              <w:spacing w:after="0" w:line="240" w:lineRule="auto"/>
              <w:rPr>
                <w:rFonts w:eastAsia="Times New Roman" w:cs="Times New Roman"/>
                <w:color w:val="000000"/>
                <w:lang w:eastAsia="fr-FR"/>
              </w:rPr>
            </w:pPr>
          </w:p>
        </w:tc>
      </w:tr>
      <w:tr w:rsidR="00424A95" w14:paraId="6B02C946" w14:textId="6F762B02" w:rsidTr="00A113C0">
        <w:trPr>
          <w:trHeight w:val="900"/>
        </w:trPr>
        <w:tc>
          <w:tcPr>
            <w:tcW w:w="1915" w:type="dxa"/>
            <w:tcBorders>
              <w:top w:val="single" w:sz="12" w:space="0" w:color="auto"/>
              <w:left w:val="single" w:sz="12" w:space="0" w:color="auto"/>
              <w:bottom w:val="single" w:sz="12" w:space="0" w:color="auto"/>
              <w:right w:val="single" w:sz="12" w:space="0" w:color="auto"/>
            </w:tcBorders>
            <w:vAlign w:val="center"/>
            <w:hideMark/>
          </w:tcPr>
          <w:p w14:paraId="2235F45F" w14:textId="67B53DC4" w:rsidR="00424A95" w:rsidRDefault="00A113C0" w:rsidP="001409D8">
            <w:pPr>
              <w:spacing w:after="0" w:line="240" w:lineRule="auto"/>
              <w:rPr>
                <w:rFonts w:eastAsia="Times New Roman" w:cs="Times New Roman"/>
                <w:color w:val="000000"/>
                <w:lang w:eastAsia="fr-FR"/>
              </w:rPr>
            </w:pPr>
            <w:r w:rsidRPr="00A113C0">
              <w:rPr>
                <w:szCs w:val="24"/>
              </w:rPr>
              <w:t xml:space="preserve">Mise en place d’un standard d’interopérabilité des données </w:t>
            </w:r>
          </w:p>
        </w:tc>
        <w:tc>
          <w:tcPr>
            <w:tcW w:w="850" w:type="dxa"/>
            <w:tcBorders>
              <w:top w:val="single" w:sz="12" w:space="0" w:color="auto"/>
              <w:left w:val="single" w:sz="12" w:space="0" w:color="auto"/>
              <w:bottom w:val="single" w:sz="12" w:space="0" w:color="auto"/>
              <w:right w:val="single" w:sz="12" w:space="0" w:color="auto"/>
            </w:tcBorders>
            <w:vAlign w:val="center"/>
            <w:hideMark/>
          </w:tcPr>
          <w:p w14:paraId="0AEC9723" w14:textId="2E6D0EEA" w:rsidR="00424A95" w:rsidRDefault="00A113C0" w:rsidP="001409D8">
            <w:pPr>
              <w:spacing w:after="0" w:line="240" w:lineRule="auto"/>
              <w:jc w:val="center"/>
              <w:rPr>
                <w:rFonts w:eastAsia="Times New Roman" w:cs="Times New Roman"/>
                <w:color w:val="000000"/>
                <w:lang w:eastAsia="fr-FR"/>
              </w:rPr>
            </w:pPr>
            <w:r>
              <w:rPr>
                <w:rFonts w:eastAsia="Times New Roman" w:cs="Times New Roman"/>
                <w:color w:val="000000"/>
                <w:lang w:eastAsia="fr-FR"/>
              </w:rPr>
              <w:t>CoPil + Groupe de travail</w:t>
            </w:r>
          </w:p>
        </w:tc>
        <w:tc>
          <w:tcPr>
            <w:tcW w:w="567" w:type="dxa"/>
            <w:tcBorders>
              <w:top w:val="single" w:sz="12" w:space="0" w:color="auto"/>
              <w:left w:val="single" w:sz="12" w:space="0" w:color="auto"/>
              <w:bottom w:val="single" w:sz="12" w:space="0" w:color="auto"/>
              <w:right w:val="single" w:sz="12" w:space="0" w:color="auto"/>
            </w:tcBorders>
            <w:vAlign w:val="center"/>
            <w:hideMark/>
          </w:tcPr>
          <w:p w14:paraId="316EDD27" w14:textId="66DDC779" w:rsidR="00424A95" w:rsidRDefault="00A113C0" w:rsidP="001409D8">
            <w:pPr>
              <w:spacing w:after="0" w:line="240" w:lineRule="auto"/>
              <w:jc w:val="center"/>
              <w:rPr>
                <w:rFonts w:eastAsia="Times New Roman" w:cs="Times New Roman"/>
                <w:color w:val="000000"/>
                <w:lang w:eastAsia="fr-FR"/>
              </w:rPr>
            </w:pPr>
            <w:r>
              <w:rPr>
                <w:rFonts w:eastAsia="Times New Roman" w:cs="Times New Roman"/>
                <w:color w:val="000000"/>
                <w:lang w:eastAsia="fr-FR"/>
              </w:rPr>
              <w:t>20k</w:t>
            </w:r>
          </w:p>
        </w:tc>
        <w:tc>
          <w:tcPr>
            <w:tcW w:w="426" w:type="dxa"/>
            <w:tcBorders>
              <w:top w:val="single" w:sz="12" w:space="0" w:color="auto"/>
              <w:left w:val="single" w:sz="12" w:space="0" w:color="auto"/>
              <w:bottom w:val="single" w:sz="12" w:space="0" w:color="auto"/>
              <w:right w:val="single" w:sz="12" w:space="0" w:color="auto"/>
            </w:tcBorders>
            <w:noWrap/>
            <w:vAlign w:val="bottom"/>
            <w:hideMark/>
          </w:tcPr>
          <w:p w14:paraId="0526E6EE"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4075F00F"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hideMark/>
          </w:tcPr>
          <w:p w14:paraId="6ACBBC4C"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hideMark/>
          </w:tcPr>
          <w:p w14:paraId="25039271"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hideMark/>
          </w:tcPr>
          <w:p w14:paraId="1515C302"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hideMark/>
          </w:tcPr>
          <w:p w14:paraId="7EE6E1EA"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shd w:val="clear" w:color="auto" w:fill="FFFFFF" w:themeFill="background1"/>
            <w:noWrap/>
            <w:vAlign w:val="bottom"/>
            <w:hideMark/>
          </w:tcPr>
          <w:p w14:paraId="7A75C511"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shd w:val="clear" w:color="auto" w:fill="FFFFFF" w:themeFill="background1"/>
            <w:noWrap/>
            <w:vAlign w:val="bottom"/>
            <w:hideMark/>
          </w:tcPr>
          <w:p w14:paraId="13160F25"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6" w:type="dxa"/>
            <w:tcBorders>
              <w:top w:val="single" w:sz="12" w:space="0" w:color="auto"/>
              <w:left w:val="single" w:sz="12" w:space="0" w:color="auto"/>
              <w:bottom w:val="single" w:sz="12" w:space="0" w:color="auto"/>
              <w:right w:val="single" w:sz="12" w:space="0" w:color="auto"/>
            </w:tcBorders>
            <w:noWrap/>
            <w:vAlign w:val="bottom"/>
            <w:hideMark/>
          </w:tcPr>
          <w:p w14:paraId="504FBC8E"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1E0183AE"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3B2579DC"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27C0C9FC"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2A1192F4"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6" w:type="dxa"/>
            <w:tcBorders>
              <w:top w:val="single" w:sz="12" w:space="0" w:color="auto"/>
              <w:left w:val="single" w:sz="12" w:space="0" w:color="auto"/>
              <w:bottom w:val="single" w:sz="12" w:space="0" w:color="auto"/>
              <w:right w:val="single" w:sz="12" w:space="0" w:color="auto"/>
            </w:tcBorders>
            <w:noWrap/>
            <w:vAlign w:val="bottom"/>
            <w:hideMark/>
          </w:tcPr>
          <w:p w14:paraId="7F3F5C46"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3CC3EE21"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tcPr>
          <w:p w14:paraId="439335D7"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01854862" w14:textId="77777777" w:rsidR="00424A95" w:rsidRDefault="00424A95"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tcPr>
          <w:p w14:paraId="713691D1" w14:textId="77777777" w:rsidR="00424A95" w:rsidRDefault="00424A95"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5585044C"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tcPr>
          <w:p w14:paraId="12003C81" w14:textId="07E1EE35"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0BAEEA63" w14:textId="77777777" w:rsidR="00424A95" w:rsidRDefault="00424A95" w:rsidP="001409D8">
            <w:pPr>
              <w:spacing w:after="0" w:line="240" w:lineRule="auto"/>
              <w:rPr>
                <w:rFonts w:eastAsia="Times New Roman" w:cs="Times New Roman"/>
                <w:color w:val="000000"/>
                <w:lang w:eastAsia="fr-FR"/>
              </w:rPr>
            </w:pPr>
          </w:p>
        </w:tc>
        <w:tc>
          <w:tcPr>
            <w:tcW w:w="426" w:type="dxa"/>
            <w:tcBorders>
              <w:top w:val="single" w:sz="12" w:space="0" w:color="auto"/>
              <w:left w:val="single" w:sz="12" w:space="0" w:color="auto"/>
              <w:bottom w:val="single" w:sz="12" w:space="0" w:color="auto"/>
              <w:right w:val="single" w:sz="12" w:space="0" w:color="auto"/>
            </w:tcBorders>
          </w:tcPr>
          <w:p w14:paraId="0FFFBBF4"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5578114D"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41EEAD7B" w14:textId="344EFE21" w:rsidR="00424A95" w:rsidRDefault="00424A95" w:rsidP="001409D8">
            <w:pPr>
              <w:spacing w:after="0" w:line="240" w:lineRule="auto"/>
              <w:rPr>
                <w:rFonts w:eastAsia="Times New Roman" w:cs="Times New Roman"/>
                <w:color w:val="000000"/>
                <w:lang w:eastAsia="fr-FR"/>
              </w:rPr>
            </w:pPr>
          </w:p>
        </w:tc>
      </w:tr>
      <w:tr w:rsidR="00A113C0" w14:paraId="27C2900D" w14:textId="3B02872E" w:rsidTr="00A113C0">
        <w:trPr>
          <w:trHeight w:val="1233"/>
        </w:trPr>
        <w:tc>
          <w:tcPr>
            <w:tcW w:w="1915" w:type="dxa"/>
            <w:tcBorders>
              <w:top w:val="single" w:sz="12" w:space="0" w:color="auto"/>
              <w:left w:val="single" w:sz="12" w:space="0" w:color="auto"/>
              <w:bottom w:val="single" w:sz="12" w:space="0" w:color="auto"/>
              <w:right w:val="single" w:sz="12" w:space="0" w:color="auto"/>
            </w:tcBorders>
            <w:vAlign w:val="center"/>
            <w:hideMark/>
          </w:tcPr>
          <w:p w14:paraId="64F07152" w14:textId="2EE11732" w:rsidR="00424A95" w:rsidRPr="00A113C0" w:rsidRDefault="00A113C0" w:rsidP="001409D8">
            <w:pPr>
              <w:spacing w:after="0" w:line="240" w:lineRule="auto"/>
              <w:rPr>
                <w:rFonts w:eastAsia="Times New Roman" w:cs="Times New Roman"/>
                <w:color w:val="000000"/>
                <w:lang w:eastAsia="fr-FR"/>
              </w:rPr>
            </w:pPr>
            <w:r w:rsidRPr="00A113C0">
              <w:t>Adoption d’une plateforme de portail ouvert</w:t>
            </w:r>
          </w:p>
        </w:tc>
        <w:tc>
          <w:tcPr>
            <w:tcW w:w="850" w:type="dxa"/>
            <w:tcBorders>
              <w:top w:val="single" w:sz="12" w:space="0" w:color="auto"/>
              <w:left w:val="single" w:sz="12" w:space="0" w:color="auto"/>
              <w:bottom w:val="single" w:sz="12" w:space="0" w:color="auto"/>
              <w:right w:val="single" w:sz="12" w:space="0" w:color="auto"/>
            </w:tcBorders>
            <w:vAlign w:val="center"/>
            <w:hideMark/>
          </w:tcPr>
          <w:p w14:paraId="77385065" w14:textId="1889A802" w:rsidR="00424A95" w:rsidRDefault="00A113C0" w:rsidP="001409D8">
            <w:pPr>
              <w:spacing w:after="0" w:line="240" w:lineRule="auto"/>
              <w:jc w:val="center"/>
              <w:rPr>
                <w:rFonts w:eastAsia="Times New Roman" w:cs="Times New Roman"/>
                <w:color w:val="000000"/>
                <w:lang w:val="en-US" w:eastAsia="fr-FR"/>
              </w:rPr>
            </w:pPr>
            <w:r>
              <w:rPr>
                <w:rFonts w:eastAsia="Times New Roman" w:cs="Times New Roman"/>
                <w:color w:val="000000"/>
                <w:lang w:eastAsia="fr-FR"/>
              </w:rPr>
              <w:t>CoPil + Groupe de travail</w:t>
            </w:r>
          </w:p>
        </w:tc>
        <w:tc>
          <w:tcPr>
            <w:tcW w:w="567" w:type="dxa"/>
            <w:tcBorders>
              <w:top w:val="single" w:sz="12" w:space="0" w:color="auto"/>
              <w:left w:val="single" w:sz="12" w:space="0" w:color="auto"/>
              <w:bottom w:val="single" w:sz="12" w:space="0" w:color="auto"/>
              <w:right w:val="single" w:sz="12" w:space="0" w:color="auto"/>
            </w:tcBorders>
            <w:noWrap/>
            <w:vAlign w:val="center"/>
            <w:hideMark/>
          </w:tcPr>
          <w:p w14:paraId="46712B53" w14:textId="0FFF7ACB" w:rsidR="00424A95" w:rsidRDefault="00424A95" w:rsidP="001409D8">
            <w:pPr>
              <w:spacing w:after="0" w:line="240" w:lineRule="auto"/>
              <w:jc w:val="center"/>
              <w:rPr>
                <w:rFonts w:eastAsia="Times New Roman" w:cs="Times New Roman"/>
                <w:color w:val="000000"/>
                <w:lang w:eastAsia="fr-FR"/>
              </w:rPr>
            </w:pPr>
          </w:p>
        </w:tc>
        <w:tc>
          <w:tcPr>
            <w:tcW w:w="426" w:type="dxa"/>
            <w:tcBorders>
              <w:top w:val="single" w:sz="12" w:space="0" w:color="auto"/>
              <w:left w:val="single" w:sz="12" w:space="0" w:color="auto"/>
              <w:bottom w:val="single" w:sz="12" w:space="0" w:color="auto"/>
              <w:right w:val="single" w:sz="12" w:space="0" w:color="auto"/>
            </w:tcBorders>
            <w:noWrap/>
            <w:vAlign w:val="bottom"/>
            <w:hideMark/>
          </w:tcPr>
          <w:p w14:paraId="7E97FA12" w14:textId="0A842675"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27618C76"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hideMark/>
          </w:tcPr>
          <w:p w14:paraId="5E826688"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hideMark/>
          </w:tcPr>
          <w:p w14:paraId="4BA45BFA"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hideMark/>
          </w:tcPr>
          <w:p w14:paraId="7B696739"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hideMark/>
          </w:tcPr>
          <w:p w14:paraId="15A9FB02"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hideMark/>
          </w:tcPr>
          <w:p w14:paraId="350F3499"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shd w:val="clear" w:color="auto" w:fill="E36C0A" w:themeFill="accent6" w:themeFillShade="BF"/>
            <w:noWrap/>
            <w:vAlign w:val="bottom"/>
            <w:hideMark/>
          </w:tcPr>
          <w:p w14:paraId="2361A641"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6" w:type="dxa"/>
            <w:tcBorders>
              <w:top w:val="single" w:sz="12" w:space="0" w:color="auto"/>
              <w:left w:val="single" w:sz="12" w:space="0" w:color="auto"/>
              <w:bottom w:val="single" w:sz="12" w:space="0" w:color="auto"/>
              <w:right w:val="single" w:sz="12" w:space="0" w:color="auto"/>
            </w:tcBorders>
            <w:noWrap/>
            <w:vAlign w:val="bottom"/>
            <w:hideMark/>
          </w:tcPr>
          <w:p w14:paraId="7433C8D4"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01AC5638"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4B7456B8"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492FA969"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44830673"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6" w:type="dxa"/>
            <w:tcBorders>
              <w:top w:val="single" w:sz="12" w:space="0" w:color="auto"/>
              <w:left w:val="single" w:sz="12" w:space="0" w:color="auto"/>
              <w:bottom w:val="single" w:sz="12" w:space="0" w:color="auto"/>
              <w:right w:val="single" w:sz="12" w:space="0" w:color="auto"/>
            </w:tcBorders>
            <w:noWrap/>
            <w:vAlign w:val="bottom"/>
            <w:hideMark/>
          </w:tcPr>
          <w:p w14:paraId="719B336E"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noWrap/>
            <w:vAlign w:val="bottom"/>
            <w:hideMark/>
          </w:tcPr>
          <w:p w14:paraId="6A10F201"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425" w:type="dxa"/>
            <w:tcBorders>
              <w:top w:val="single" w:sz="12" w:space="0" w:color="auto"/>
              <w:left w:val="single" w:sz="12" w:space="0" w:color="auto"/>
              <w:bottom w:val="single" w:sz="12" w:space="0" w:color="auto"/>
              <w:right w:val="single" w:sz="12" w:space="0" w:color="auto"/>
            </w:tcBorders>
          </w:tcPr>
          <w:p w14:paraId="2720F1B2"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35E511A1" w14:textId="77777777" w:rsidR="00424A95" w:rsidRDefault="00424A95"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tcPr>
          <w:p w14:paraId="2FE230C5" w14:textId="77777777" w:rsidR="00424A95" w:rsidRDefault="00424A95" w:rsidP="001409D8">
            <w:pPr>
              <w:spacing w:after="0" w:line="240" w:lineRule="auto"/>
              <w:rPr>
                <w:rFonts w:eastAsia="Times New Roman" w:cs="Times New Roman"/>
                <w:color w:val="000000"/>
                <w:lang w:eastAsia="fr-FR"/>
              </w:rPr>
            </w:pPr>
          </w:p>
        </w:tc>
        <w:tc>
          <w:tcPr>
            <w:tcW w:w="425" w:type="dxa"/>
            <w:tcBorders>
              <w:top w:val="single" w:sz="12" w:space="0" w:color="auto"/>
              <w:left w:val="single" w:sz="12" w:space="0" w:color="auto"/>
              <w:bottom w:val="single" w:sz="12" w:space="0" w:color="auto"/>
              <w:right w:val="single" w:sz="12" w:space="0" w:color="auto"/>
            </w:tcBorders>
            <w:noWrap/>
            <w:vAlign w:val="bottom"/>
            <w:hideMark/>
          </w:tcPr>
          <w:p w14:paraId="1375C2E5" w14:textId="77777777" w:rsidR="00424A95" w:rsidRDefault="00424A95" w:rsidP="001409D8">
            <w:pPr>
              <w:spacing w:after="0" w:line="240" w:lineRule="auto"/>
              <w:rPr>
                <w:rFonts w:eastAsia="Times New Roman" w:cs="Times New Roman"/>
                <w:color w:val="000000"/>
                <w:lang w:eastAsia="fr-FR"/>
              </w:rPr>
            </w:pPr>
            <w:r>
              <w:rPr>
                <w:rFonts w:eastAsia="Times New Roman" w:cs="Times New Roman"/>
                <w:color w:val="000000"/>
                <w:lang w:eastAsia="fr-FR"/>
              </w:rPr>
              <w:t> </w:t>
            </w:r>
          </w:p>
        </w:tc>
        <w:tc>
          <w:tcPr>
            <w:tcW w:w="567" w:type="dxa"/>
            <w:tcBorders>
              <w:top w:val="single" w:sz="12" w:space="0" w:color="auto"/>
              <w:left w:val="single" w:sz="12" w:space="0" w:color="auto"/>
              <w:bottom w:val="single" w:sz="12" w:space="0" w:color="auto"/>
              <w:right w:val="single" w:sz="12" w:space="0" w:color="auto"/>
            </w:tcBorders>
          </w:tcPr>
          <w:p w14:paraId="4BD4C358"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7104CEC7" w14:textId="77777777" w:rsidR="00424A95" w:rsidRDefault="00424A95" w:rsidP="001409D8">
            <w:pPr>
              <w:spacing w:after="0" w:line="240" w:lineRule="auto"/>
              <w:rPr>
                <w:rFonts w:eastAsia="Times New Roman" w:cs="Times New Roman"/>
                <w:color w:val="000000"/>
                <w:lang w:eastAsia="fr-FR"/>
              </w:rPr>
            </w:pPr>
          </w:p>
        </w:tc>
        <w:tc>
          <w:tcPr>
            <w:tcW w:w="426" w:type="dxa"/>
            <w:tcBorders>
              <w:top w:val="single" w:sz="12" w:space="0" w:color="auto"/>
              <w:left w:val="single" w:sz="12" w:space="0" w:color="auto"/>
              <w:bottom w:val="single" w:sz="12" w:space="0" w:color="auto"/>
              <w:right w:val="single" w:sz="12" w:space="0" w:color="auto"/>
            </w:tcBorders>
          </w:tcPr>
          <w:p w14:paraId="318E0D8A"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03832B19" w14:textId="77777777" w:rsidR="00424A95" w:rsidRDefault="00424A95" w:rsidP="001409D8">
            <w:pPr>
              <w:spacing w:after="0" w:line="240" w:lineRule="auto"/>
              <w:rPr>
                <w:rFonts w:eastAsia="Times New Roman" w:cs="Times New Roman"/>
                <w:color w:val="000000"/>
                <w:lang w:eastAsia="fr-FR"/>
              </w:rPr>
            </w:pPr>
          </w:p>
        </w:tc>
        <w:tc>
          <w:tcPr>
            <w:tcW w:w="567" w:type="dxa"/>
            <w:tcBorders>
              <w:top w:val="single" w:sz="12" w:space="0" w:color="auto"/>
              <w:left w:val="single" w:sz="12" w:space="0" w:color="auto"/>
              <w:bottom w:val="single" w:sz="12" w:space="0" w:color="auto"/>
              <w:right w:val="single" w:sz="12" w:space="0" w:color="auto"/>
            </w:tcBorders>
          </w:tcPr>
          <w:p w14:paraId="796B1C69" w14:textId="7A3CA497" w:rsidR="00424A95" w:rsidRDefault="00424A95" w:rsidP="001409D8">
            <w:pPr>
              <w:spacing w:after="0" w:line="240" w:lineRule="auto"/>
              <w:rPr>
                <w:rFonts w:eastAsia="Times New Roman" w:cs="Times New Roman"/>
                <w:color w:val="000000"/>
                <w:lang w:eastAsia="fr-FR"/>
              </w:rPr>
            </w:pPr>
          </w:p>
        </w:tc>
      </w:tr>
    </w:tbl>
    <w:p w14:paraId="21A54FB8" w14:textId="77777777" w:rsidR="004C4146" w:rsidRDefault="004C4146" w:rsidP="004C4146"/>
    <w:p w14:paraId="32CBF286" w14:textId="77777777" w:rsidR="004C4146" w:rsidRDefault="004C4146" w:rsidP="004C4146">
      <w:pPr>
        <w:sectPr w:rsidR="004C4146" w:rsidSect="00974263">
          <w:headerReference w:type="even" r:id="rId40"/>
          <w:headerReference w:type="default" r:id="rId41"/>
          <w:footerReference w:type="default" r:id="rId42"/>
          <w:headerReference w:type="first" r:id="rId43"/>
          <w:footerReference w:type="first" r:id="rId44"/>
          <w:pgSz w:w="16838" w:h="11906" w:orient="landscape"/>
          <w:pgMar w:top="1418" w:right="1418" w:bottom="1418" w:left="1418" w:header="709" w:footer="709" w:gutter="0"/>
          <w:cols w:space="708"/>
          <w:docGrid w:linePitch="360"/>
        </w:sectPr>
      </w:pPr>
    </w:p>
    <w:p w14:paraId="2C13DBDB" w14:textId="662E47DF" w:rsidR="00990EC4" w:rsidRDefault="000C1986" w:rsidP="003031BA">
      <w:pPr>
        <w:pStyle w:val="Titre1"/>
        <w:jc w:val="left"/>
      </w:pPr>
      <w:bookmarkStart w:id="42" w:name="_Toc496544790"/>
      <w:bookmarkStart w:id="43" w:name="_Toc459307850"/>
      <w:r>
        <w:t>Annexe</w:t>
      </w:r>
      <w:r w:rsidR="00990EC4">
        <w:t xml:space="preserve"> A – </w:t>
      </w:r>
      <w:r w:rsidR="00974263">
        <w:t>Rencontres</w:t>
      </w:r>
      <w:bookmarkEnd w:id="42"/>
    </w:p>
    <w:p w14:paraId="18882DFA" w14:textId="1F607E09" w:rsidR="00974263" w:rsidRPr="00974263" w:rsidRDefault="00974263" w:rsidP="00974263">
      <w:r>
        <w:t>Liste des personnes Rencontrées durant la visite de terrain (25 Septembre – 3 Octobre 2017)</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40"/>
        <w:gridCol w:w="1932"/>
        <w:gridCol w:w="3119"/>
        <w:gridCol w:w="2976"/>
      </w:tblGrid>
      <w:tr w:rsidR="00D65E53" w:rsidRPr="001045F9" w14:paraId="13F07E6F" w14:textId="77777777" w:rsidTr="00043D2A">
        <w:trPr>
          <w:trHeight w:val="452"/>
        </w:trPr>
        <w:tc>
          <w:tcPr>
            <w:tcW w:w="1040" w:type="dxa"/>
            <w:shd w:val="clear" w:color="auto" w:fill="B2A1C7" w:themeFill="accent4" w:themeFillTint="99"/>
            <w:noWrap/>
            <w:vAlign w:val="bottom"/>
            <w:hideMark/>
          </w:tcPr>
          <w:p w14:paraId="50889201" w14:textId="77777777" w:rsidR="001045F9" w:rsidRPr="001045F9" w:rsidRDefault="001045F9" w:rsidP="001045F9">
            <w:pPr>
              <w:spacing w:after="0" w:line="240" w:lineRule="auto"/>
              <w:rPr>
                <w:rFonts w:eastAsia="Times New Roman" w:cstheme="minorHAnsi"/>
                <w:color w:val="000000"/>
                <w:sz w:val="24"/>
                <w:szCs w:val="24"/>
                <w:lang w:eastAsia="fr-FR"/>
              </w:rPr>
            </w:pPr>
            <w:r w:rsidRPr="001045F9">
              <w:rPr>
                <w:rFonts w:eastAsia="Times New Roman" w:cstheme="minorHAnsi"/>
                <w:color w:val="000000"/>
                <w:sz w:val="24"/>
                <w:szCs w:val="24"/>
                <w:lang w:eastAsia="fr-FR"/>
              </w:rPr>
              <w:t> </w:t>
            </w:r>
          </w:p>
        </w:tc>
        <w:tc>
          <w:tcPr>
            <w:tcW w:w="1932" w:type="dxa"/>
            <w:shd w:val="clear" w:color="auto" w:fill="B2A1C7" w:themeFill="accent4" w:themeFillTint="99"/>
            <w:vAlign w:val="center"/>
            <w:hideMark/>
          </w:tcPr>
          <w:p w14:paraId="2256100D" w14:textId="70CC7239" w:rsidR="001045F9" w:rsidRPr="001045F9" w:rsidRDefault="001045F9" w:rsidP="00D65E53">
            <w:pPr>
              <w:spacing w:after="0" w:line="240" w:lineRule="auto"/>
              <w:jc w:val="center"/>
              <w:rPr>
                <w:rFonts w:eastAsia="Times New Roman" w:cstheme="minorHAnsi"/>
                <w:b/>
                <w:bCs/>
                <w:color w:val="000000"/>
                <w:sz w:val="24"/>
                <w:szCs w:val="24"/>
                <w:lang w:eastAsia="fr-FR"/>
              </w:rPr>
            </w:pPr>
            <w:r w:rsidRPr="001045F9">
              <w:rPr>
                <w:rFonts w:eastAsia="Times New Roman" w:cstheme="minorHAnsi"/>
                <w:b/>
                <w:bCs/>
                <w:color w:val="000000"/>
                <w:sz w:val="24"/>
                <w:szCs w:val="24"/>
                <w:lang w:eastAsia="fr-FR"/>
              </w:rPr>
              <w:t xml:space="preserve">Nom </w:t>
            </w:r>
            <w:r w:rsidR="00D65E53" w:rsidRPr="00D65E53">
              <w:rPr>
                <w:rFonts w:eastAsia="Times New Roman" w:cstheme="minorHAnsi"/>
                <w:b/>
                <w:bCs/>
                <w:color w:val="000000"/>
                <w:sz w:val="24"/>
                <w:szCs w:val="24"/>
                <w:lang w:eastAsia="fr-FR"/>
              </w:rPr>
              <w:t>Prénom</w:t>
            </w:r>
          </w:p>
        </w:tc>
        <w:tc>
          <w:tcPr>
            <w:tcW w:w="3119" w:type="dxa"/>
            <w:shd w:val="clear" w:color="auto" w:fill="B2A1C7" w:themeFill="accent4" w:themeFillTint="99"/>
            <w:vAlign w:val="center"/>
            <w:hideMark/>
          </w:tcPr>
          <w:p w14:paraId="5AB27479" w14:textId="77777777" w:rsidR="001045F9" w:rsidRPr="001045F9" w:rsidRDefault="001045F9" w:rsidP="00D65E53">
            <w:pPr>
              <w:spacing w:after="0" w:line="240" w:lineRule="auto"/>
              <w:jc w:val="center"/>
              <w:rPr>
                <w:rFonts w:eastAsia="Times New Roman" w:cstheme="minorHAnsi"/>
                <w:b/>
                <w:bCs/>
                <w:color w:val="000000"/>
                <w:sz w:val="24"/>
                <w:szCs w:val="24"/>
                <w:lang w:eastAsia="fr-FR"/>
              </w:rPr>
            </w:pPr>
            <w:r w:rsidRPr="001045F9">
              <w:rPr>
                <w:rFonts w:eastAsia="Times New Roman" w:cstheme="minorHAnsi"/>
                <w:b/>
                <w:bCs/>
                <w:color w:val="000000"/>
                <w:sz w:val="24"/>
                <w:szCs w:val="24"/>
                <w:lang w:eastAsia="fr-FR"/>
              </w:rPr>
              <w:t>Titre</w:t>
            </w:r>
          </w:p>
        </w:tc>
        <w:tc>
          <w:tcPr>
            <w:tcW w:w="2976" w:type="dxa"/>
            <w:shd w:val="clear" w:color="auto" w:fill="B2A1C7" w:themeFill="accent4" w:themeFillTint="99"/>
            <w:vAlign w:val="center"/>
            <w:hideMark/>
          </w:tcPr>
          <w:p w14:paraId="0B2B372D" w14:textId="77777777" w:rsidR="001045F9" w:rsidRPr="001045F9" w:rsidRDefault="001045F9" w:rsidP="00D65E53">
            <w:pPr>
              <w:spacing w:after="0" w:line="240" w:lineRule="auto"/>
              <w:jc w:val="center"/>
              <w:rPr>
                <w:rFonts w:eastAsia="Times New Roman" w:cstheme="minorHAnsi"/>
                <w:b/>
                <w:bCs/>
                <w:color w:val="000000"/>
                <w:sz w:val="24"/>
                <w:szCs w:val="24"/>
                <w:lang w:eastAsia="fr-FR"/>
              </w:rPr>
            </w:pPr>
            <w:r w:rsidRPr="001045F9">
              <w:rPr>
                <w:rFonts w:eastAsia="Times New Roman" w:cstheme="minorHAnsi"/>
                <w:b/>
                <w:bCs/>
                <w:color w:val="000000"/>
                <w:sz w:val="24"/>
                <w:szCs w:val="24"/>
                <w:lang w:eastAsia="fr-FR"/>
              </w:rPr>
              <w:t>Organisation</w:t>
            </w:r>
          </w:p>
        </w:tc>
      </w:tr>
      <w:tr w:rsidR="001045F9" w:rsidRPr="001045F9" w14:paraId="2030666B" w14:textId="77777777" w:rsidTr="00043D2A">
        <w:trPr>
          <w:trHeight w:val="773"/>
        </w:trPr>
        <w:tc>
          <w:tcPr>
            <w:tcW w:w="1040" w:type="dxa"/>
            <w:shd w:val="clear" w:color="auto" w:fill="auto"/>
            <w:noWrap/>
            <w:vAlign w:val="bottom"/>
            <w:hideMark/>
          </w:tcPr>
          <w:p w14:paraId="12CBA53C"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Mme</w:t>
            </w:r>
          </w:p>
        </w:tc>
        <w:tc>
          <w:tcPr>
            <w:tcW w:w="1932" w:type="dxa"/>
            <w:shd w:val="clear" w:color="auto" w:fill="auto"/>
            <w:vAlign w:val="bottom"/>
            <w:hideMark/>
          </w:tcPr>
          <w:p w14:paraId="298EB3CF"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Trii Hasna </w:t>
            </w:r>
          </w:p>
        </w:tc>
        <w:tc>
          <w:tcPr>
            <w:tcW w:w="3119" w:type="dxa"/>
            <w:shd w:val="clear" w:color="auto" w:fill="auto"/>
            <w:vAlign w:val="bottom"/>
            <w:hideMark/>
          </w:tcPr>
          <w:p w14:paraId="6294CAD6"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Gestionnaire en chef des documents Directeur de l'exploitation des informations</w:t>
            </w:r>
          </w:p>
        </w:tc>
        <w:tc>
          <w:tcPr>
            <w:tcW w:w="2976" w:type="dxa"/>
            <w:shd w:val="clear" w:color="auto" w:fill="auto"/>
            <w:vAlign w:val="bottom"/>
            <w:hideMark/>
          </w:tcPr>
          <w:p w14:paraId="01366E41"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Archives Nationales</w:t>
            </w:r>
          </w:p>
        </w:tc>
      </w:tr>
      <w:tr w:rsidR="001045F9" w:rsidRPr="001045F9" w14:paraId="044F3B37" w14:textId="77777777" w:rsidTr="00043D2A">
        <w:trPr>
          <w:trHeight w:val="524"/>
        </w:trPr>
        <w:tc>
          <w:tcPr>
            <w:tcW w:w="1040" w:type="dxa"/>
            <w:shd w:val="clear" w:color="auto" w:fill="auto"/>
            <w:noWrap/>
            <w:vAlign w:val="bottom"/>
            <w:hideMark/>
          </w:tcPr>
          <w:p w14:paraId="7BD5D030"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Mr</w:t>
            </w:r>
          </w:p>
        </w:tc>
        <w:tc>
          <w:tcPr>
            <w:tcW w:w="1932" w:type="dxa"/>
            <w:shd w:val="clear" w:color="auto" w:fill="auto"/>
            <w:vAlign w:val="bottom"/>
            <w:hideMark/>
          </w:tcPr>
          <w:p w14:paraId="54A0CB6B"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Hédi Jallab</w:t>
            </w:r>
          </w:p>
        </w:tc>
        <w:tc>
          <w:tcPr>
            <w:tcW w:w="3119" w:type="dxa"/>
            <w:shd w:val="clear" w:color="auto" w:fill="auto"/>
            <w:vAlign w:val="bottom"/>
            <w:hideMark/>
          </w:tcPr>
          <w:p w14:paraId="37A8A169"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Directeur Général des archives nationales</w:t>
            </w:r>
          </w:p>
        </w:tc>
        <w:tc>
          <w:tcPr>
            <w:tcW w:w="2976" w:type="dxa"/>
            <w:shd w:val="clear" w:color="auto" w:fill="auto"/>
            <w:vAlign w:val="bottom"/>
            <w:hideMark/>
          </w:tcPr>
          <w:p w14:paraId="5B45154E"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Archives Nationales</w:t>
            </w:r>
          </w:p>
        </w:tc>
      </w:tr>
      <w:tr w:rsidR="001045F9" w:rsidRPr="001045F9" w14:paraId="37B73168" w14:textId="77777777" w:rsidTr="00043D2A">
        <w:trPr>
          <w:trHeight w:val="904"/>
        </w:trPr>
        <w:tc>
          <w:tcPr>
            <w:tcW w:w="1040" w:type="dxa"/>
            <w:shd w:val="clear" w:color="auto" w:fill="auto"/>
            <w:noWrap/>
            <w:vAlign w:val="bottom"/>
            <w:hideMark/>
          </w:tcPr>
          <w:p w14:paraId="6E9F5357"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Mme</w:t>
            </w:r>
          </w:p>
        </w:tc>
        <w:tc>
          <w:tcPr>
            <w:tcW w:w="1932" w:type="dxa"/>
            <w:shd w:val="clear" w:color="auto" w:fill="auto"/>
            <w:vAlign w:val="bottom"/>
            <w:hideMark/>
          </w:tcPr>
          <w:p w14:paraId="714D30CE"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Amel Lahmari Fekih</w:t>
            </w:r>
          </w:p>
        </w:tc>
        <w:tc>
          <w:tcPr>
            <w:tcW w:w="3119" w:type="dxa"/>
            <w:shd w:val="clear" w:color="auto" w:fill="auto"/>
            <w:vAlign w:val="bottom"/>
            <w:hideMark/>
          </w:tcPr>
          <w:p w14:paraId="395646F2"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Chef de l'unité de gestion du budget par objectif du ministère des finances</w:t>
            </w:r>
          </w:p>
        </w:tc>
        <w:tc>
          <w:tcPr>
            <w:tcW w:w="2976" w:type="dxa"/>
            <w:shd w:val="clear" w:color="auto" w:fill="auto"/>
            <w:vAlign w:val="bottom"/>
            <w:hideMark/>
          </w:tcPr>
          <w:p w14:paraId="3DEC9259"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Ministère des Finances</w:t>
            </w:r>
          </w:p>
        </w:tc>
      </w:tr>
      <w:tr w:rsidR="001045F9" w:rsidRPr="001045F9" w14:paraId="1FE08BB0" w14:textId="77777777" w:rsidTr="00043D2A">
        <w:trPr>
          <w:trHeight w:val="603"/>
        </w:trPr>
        <w:tc>
          <w:tcPr>
            <w:tcW w:w="1040" w:type="dxa"/>
            <w:shd w:val="clear" w:color="auto" w:fill="auto"/>
            <w:noWrap/>
            <w:vAlign w:val="bottom"/>
            <w:hideMark/>
          </w:tcPr>
          <w:p w14:paraId="09EF2ACA"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Mr</w:t>
            </w:r>
          </w:p>
        </w:tc>
        <w:tc>
          <w:tcPr>
            <w:tcW w:w="1932" w:type="dxa"/>
            <w:shd w:val="clear" w:color="auto" w:fill="auto"/>
            <w:vAlign w:val="bottom"/>
            <w:hideMark/>
          </w:tcPr>
          <w:p w14:paraId="37495037"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Assad Khalil</w:t>
            </w:r>
          </w:p>
        </w:tc>
        <w:tc>
          <w:tcPr>
            <w:tcW w:w="3119" w:type="dxa"/>
            <w:shd w:val="clear" w:color="auto" w:fill="auto"/>
            <w:vAlign w:val="bottom"/>
            <w:hideMark/>
          </w:tcPr>
          <w:p w14:paraId="129716BD" w14:textId="700BDC0F"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 xml:space="preserve">Directeur Informatique au </w:t>
            </w:r>
            <w:r w:rsidR="00D65E53" w:rsidRPr="001045F9">
              <w:rPr>
                <w:rFonts w:eastAsia="Times New Roman" w:cstheme="minorHAnsi"/>
                <w:sz w:val="24"/>
                <w:szCs w:val="24"/>
                <w:lang w:eastAsia="fr-FR"/>
              </w:rPr>
              <w:t>Comité</w:t>
            </w:r>
            <w:r w:rsidRPr="001045F9">
              <w:rPr>
                <w:rFonts w:eastAsia="Times New Roman" w:cstheme="minorHAnsi"/>
                <w:sz w:val="24"/>
                <w:szCs w:val="24"/>
                <w:lang w:eastAsia="fr-FR"/>
              </w:rPr>
              <w:t xml:space="preserve"> General du Budget de l'Etat</w:t>
            </w:r>
          </w:p>
        </w:tc>
        <w:tc>
          <w:tcPr>
            <w:tcW w:w="2976" w:type="dxa"/>
            <w:shd w:val="clear" w:color="auto" w:fill="auto"/>
            <w:vAlign w:val="bottom"/>
            <w:hideMark/>
          </w:tcPr>
          <w:p w14:paraId="49501272"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Ministère des Finances</w:t>
            </w:r>
          </w:p>
        </w:tc>
      </w:tr>
      <w:tr w:rsidR="001045F9" w:rsidRPr="001045F9" w14:paraId="36AA3D3E" w14:textId="77777777" w:rsidTr="00043D2A">
        <w:trPr>
          <w:trHeight w:val="904"/>
        </w:trPr>
        <w:tc>
          <w:tcPr>
            <w:tcW w:w="1040" w:type="dxa"/>
            <w:shd w:val="clear" w:color="auto" w:fill="auto"/>
            <w:noWrap/>
            <w:vAlign w:val="bottom"/>
            <w:hideMark/>
          </w:tcPr>
          <w:p w14:paraId="045BA47A"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Mme</w:t>
            </w:r>
          </w:p>
        </w:tc>
        <w:tc>
          <w:tcPr>
            <w:tcW w:w="1932" w:type="dxa"/>
            <w:shd w:val="clear" w:color="auto" w:fill="auto"/>
            <w:vAlign w:val="bottom"/>
            <w:hideMark/>
          </w:tcPr>
          <w:p w14:paraId="4AC17F03"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Oumaya Sahraoui</w:t>
            </w:r>
          </w:p>
        </w:tc>
        <w:tc>
          <w:tcPr>
            <w:tcW w:w="3119" w:type="dxa"/>
            <w:shd w:val="clear" w:color="auto" w:fill="auto"/>
            <w:vAlign w:val="bottom"/>
            <w:hideMark/>
          </w:tcPr>
          <w:p w14:paraId="7C3273BF"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Chef de la cellule de communication et Administrateur Web</w:t>
            </w:r>
          </w:p>
        </w:tc>
        <w:tc>
          <w:tcPr>
            <w:tcW w:w="2976" w:type="dxa"/>
            <w:shd w:val="clear" w:color="auto" w:fill="auto"/>
            <w:vAlign w:val="bottom"/>
            <w:hideMark/>
          </w:tcPr>
          <w:p w14:paraId="368F688A"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Ministère des Finances</w:t>
            </w:r>
          </w:p>
        </w:tc>
      </w:tr>
      <w:tr w:rsidR="001045F9" w:rsidRPr="001045F9" w14:paraId="6C2383E9" w14:textId="77777777" w:rsidTr="00043D2A">
        <w:trPr>
          <w:trHeight w:val="603"/>
        </w:trPr>
        <w:tc>
          <w:tcPr>
            <w:tcW w:w="1040" w:type="dxa"/>
            <w:shd w:val="clear" w:color="auto" w:fill="auto"/>
            <w:noWrap/>
            <w:vAlign w:val="bottom"/>
            <w:hideMark/>
          </w:tcPr>
          <w:p w14:paraId="3BFC3576"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Mme</w:t>
            </w:r>
          </w:p>
        </w:tc>
        <w:tc>
          <w:tcPr>
            <w:tcW w:w="1932" w:type="dxa"/>
            <w:shd w:val="clear" w:color="auto" w:fill="auto"/>
            <w:vAlign w:val="bottom"/>
            <w:hideMark/>
          </w:tcPr>
          <w:p w14:paraId="559BC3B6"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Ibtissem Alaoui</w:t>
            </w:r>
          </w:p>
        </w:tc>
        <w:tc>
          <w:tcPr>
            <w:tcW w:w="3119" w:type="dxa"/>
            <w:shd w:val="clear" w:color="auto" w:fill="auto"/>
            <w:vAlign w:val="bottom"/>
            <w:hideMark/>
          </w:tcPr>
          <w:p w14:paraId="53B000C5"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Directeur, Direction Générale des Ressources et Équilibres</w:t>
            </w:r>
          </w:p>
        </w:tc>
        <w:tc>
          <w:tcPr>
            <w:tcW w:w="2976" w:type="dxa"/>
            <w:shd w:val="clear" w:color="auto" w:fill="auto"/>
            <w:vAlign w:val="bottom"/>
            <w:hideMark/>
          </w:tcPr>
          <w:p w14:paraId="221A75BC"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Ministère des Finances</w:t>
            </w:r>
          </w:p>
        </w:tc>
      </w:tr>
      <w:tr w:rsidR="001045F9" w:rsidRPr="001045F9" w14:paraId="286C9760" w14:textId="77777777" w:rsidTr="00043D2A">
        <w:trPr>
          <w:trHeight w:val="904"/>
        </w:trPr>
        <w:tc>
          <w:tcPr>
            <w:tcW w:w="1040" w:type="dxa"/>
            <w:shd w:val="clear" w:color="auto" w:fill="auto"/>
            <w:noWrap/>
            <w:vAlign w:val="bottom"/>
            <w:hideMark/>
          </w:tcPr>
          <w:p w14:paraId="298880F3"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Mr</w:t>
            </w:r>
          </w:p>
        </w:tc>
        <w:tc>
          <w:tcPr>
            <w:tcW w:w="1932" w:type="dxa"/>
            <w:shd w:val="clear" w:color="auto" w:fill="auto"/>
            <w:vAlign w:val="bottom"/>
            <w:hideMark/>
          </w:tcPr>
          <w:p w14:paraId="74C7B521"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Khaled Tarrouche</w:t>
            </w:r>
          </w:p>
        </w:tc>
        <w:tc>
          <w:tcPr>
            <w:tcW w:w="3119" w:type="dxa"/>
            <w:shd w:val="clear" w:color="auto" w:fill="auto"/>
            <w:vAlign w:val="bottom"/>
            <w:hideMark/>
          </w:tcPr>
          <w:p w14:paraId="2C7C9E70"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Directeur général du bureau d'organisation et de méthodes de travail</w:t>
            </w:r>
          </w:p>
        </w:tc>
        <w:tc>
          <w:tcPr>
            <w:tcW w:w="2976" w:type="dxa"/>
            <w:shd w:val="clear" w:color="auto" w:fill="auto"/>
            <w:vAlign w:val="bottom"/>
            <w:hideMark/>
          </w:tcPr>
          <w:p w14:paraId="43D6F472"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Ministère de l'Intérieur</w:t>
            </w:r>
          </w:p>
        </w:tc>
      </w:tr>
      <w:tr w:rsidR="001045F9" w:rsidRPr="001045F9" w14:paraId="2B2A6409" w14:textId="77777777" w:rsidTr="00043D2A">
        <w:trPr>
          <w:trHeight w:val="301"/>
        </w:trPr>
        <w:tc>
          <w:tcPr>
            <w:tcW w:w="1040" w:type="dxa"/>
            <w:shd w:val="clear" w:color="auto" w:fill="auto"/>
            <w:noWrap/>
            <w:vAlign w:val="bottom"/>
            <w:hideMark/>
          </w:tcPr>
          <w:p w14:paraId="68F80F2C"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Mr</w:t>
            </w:r>
          </w:p>
        </w:tc>
        <w:tc>
          <w:tcPr>
            <w:tcW w:w="1932" w:type="dxa"/>
            <w:shd w:val="clear" w:color="auto" w:fill="auto"/>
            <w:vAlign w:val="bottom"/>
            <w:hideMark/>
          </w:tcPr>
          <w:p w14:paraId="0F6AE7E6"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Kachbouri Alaeddine</w:t>
            </w:r>
          </w:p>
        </w:tc>
        <w:tc>
          <w:tcPr>
            <w:tcW w:w="3119" w:type="dxa"/>
            <w:shd w:val="clear" w:color="auto" w:fill="auto"/>
            <w:vAlign w:val="bottom"/>
            <w:hideMark/>
          </w:tcPr>
          <w:p w14:paraId="134F1F06"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cabinet</w:t>
            </w:r>
          </w:p>
        </w:tc>
        <w:tc>
          <w:tcPr>
            <w:tcW w:w="2976" w:type="dxa"/>
            <w:shd w:val="clear" w:color="auto" w:fill="auto"/>
            <w:vAlign w:val="bottom"/>
            <w:hideMark/>
          </w:tcPr>
          <w:p w14:paraId="5D65F30F"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Ministère de l'Intérieur</w:t>
            </w:r>
          </w:p>
        </w:tc>
      </w:tr>
      <w:tr w:rsidR="001045F9" w:rsidRPr="001045F9" w14:paraId="529282D5" w14:textId="77777777" w:rsidTr="00043D2A">
        <w:trPr>
          <w:trHeight w:val="301"/>
        </w:trPr>
        <w:tc>
          <w:tcPr>
            <w:tcW w:w="1040" w:type="dxa"/>
            <w:shd w:val="clear" w:color="auto" w:fill="auto"/>
            <w:noWrap/>
            <w:vAlign w:val="bottom"/>
            <w:hideMark/>
          </w:tcPr>
          <w:p w14:paraId="144C8217"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Mr</w:t>
            </w:r>
          </w:p>
        </w:tc>
        <w:tc>
          <w:tcPr>
            <w:tcW w:w="1932" w:type="dxa"/>
            <w:shd w:val="clear" w:color="auto" w:fill="auto"/>
            <w:vAlign w:val="bottom"/>
            <w:hideMark/>
          </w:tcPr>
          <w:p w14:paraId="56277782"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Ben Farhat Elyes</w:t>
            </w:r>
          </w:p>
        </w:tc>
        <w:tc>
          <w:tcPr>
            <w:tcW w:w="3119" w:type="dxa"/>
            <w:shd w:val="clear" w:color="auto" w:fill="auto"/>
            <w:vAlign w:val="bottom"/>
            <w:hideMark/>
          </w:tcPr>
          <w:p w14:paraId="4320972F" w14:textId="54B1B6AC" w:rsidR="001045F9" w:rsidRPr="001045F9" w:rsidRDefault="00895E17" w:rsidP="001045F9">
            <w:pPr>
              <w:spacing w:after="0" w:line="240" w:lineRule="auto"/>
              <w:rPr>
                <w:rFonts w:eastAsia="Times New Roman" w:cstheme="minorHAnsi"/>
                <w:sz w:val="24"/>
                <w:szCs w:val="24"/>
                <w:lang w:eastAsia="fr-FR"/>
              </w:rPr>
            </w:pPr>
            <w:r w:rsidRPr="00895E17">
              <w:rPr>
                <w:rFonts w:eastAsia="Times New Roman" w:cstheme="minorHAnsi"/>
                <w:sz w:val="24"/>
                <w:szCs w:val="24"/>
                <w:lang w:eastAsia="fr-FR"/>
              </w:rPr>
              <w:t>Directeur  de la cellule informatique du cabinet</w:t>
            </w:r>
          </w:p>
        </w:tc>
        <w:tc>
          <w:tcPr>
            <w:tcW w:w="2976" w:type="dxa"/>
            <w:shd w:val="clear" w:color="auto" w:fill="auto"/>
            <w:vAlign w:val="bottom"/>
            <w:hideMark/>
          </w:tcPr>
          <w:p w14:paraId="5454C190"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Ministère de l'Intérieur</w:t>
            </w:r>
          </w:p>
        </w:tc>
      </w:tr>
      <w:tr w:rsidR="001045F9" w:rsidRPr="001045F9" w14:paraId="04626980" w14:textId="77777777" w:rsidTr="00043D2A">
        <w:trPr>
          <w:trHeight w:val="301"/>
        </w:trPr>
        <w:tc>
          <w:tcPr>
            <w:tcW w:w="1040" w:type="dxa"/>
            <w:shd w:val="clear" w:color="auto" w:fill="auto"/>
            <w:noWrap/>
            <w:vAlign w:val="bottom"/>
            <w:hideMark/>
          </w:tcPr>
          <w:p w14:paraId="59B21732"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Mr</w:t>
            </w:r>
          </w:p>
        </w:tc>
        <w:tc>
          <w:tcPr>
            <w:tcW w:w="1932" w:type="dxa"/>
            <w:shd w:val="clear" w:color="auto" w:fill="auto"/>
            <w:vAlign w:val="bottom"/>
            <w:hideMark/>
          </w:tcPr>
          <w:p w14:paraId="2030AFA2"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Tarek Djebali</w:t>
            </w:r>
          </w:p>
        </w:tc>
        <w:tc>
          <w:tcPr>
            <w:tcW w:w="3119" w:type="dxa"/>
            <w:shd w:val="clear" w:color="auto" w:fill="auto"/>
            <w:vAlign w:val="bottom"/>
            <w:hideMark/>
          </w:tcPr>
          <w:p w14:paraId="06CEA4DC"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cabinet</w:t>
            </w:r>
          </w:p>
        </w:tc>
        <w:tc>
          <w:tcPr>
            <w:tcW w:w="2976" w:type="dxa"/>
            <w:shd w:val="clear" w:color="auto" w:fill="auto"/>
            <w:vAlign w:val="bottom"/>
            <w:hideMark/>
          </w:tcPr>
          <w:p w14:paraId="40973894"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Ministère de l'Intérieur</w:t>
            </w:r>
          </w:p>
        </w:tc>
      </w:tr>
      <w:tr w:rsidR="001045F9" w:rsidRPr="001045F9" w14:paraId="55B8CB26" w14:textId="77777777" w:rsidTr="00043D2A">
        <w:trPr>
          <w:trHeight w:val="603"/>
        </w:trPr>
        <w:tc>
          <w:tcPr>
            <w:tcW w:w="1040" w:type="dxa"/>
            <w:shd w:val="clear" w:color="auto" w:fill="auto"/>
            <w:noWrap/>
            <w:vAlign w:val="bottom"/>
            <w:hideMark/>
          </w:tcPr>
          <w:p w14:paraId="4E75FDE9"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Mr</w:t>
            </w:r>
          </w:p>
        </w:tc>
        <w:tc>
          <w:tcPr>
            <w:tcW w:w="1932" w:type="dxa"/>
            <w:shd w:val="clear" w:color="auto" w:fill="auto"/>
            <w:vAlign w:val="bottom"/>
            <w:hideMark/>
          </w:tcPr>
          <w:p w14:paraId="1F9AA625"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Najib Thabet</w:t>
            </w:r>
          </w:p>
        </w:tc>
        <w:tc>
          <w:tcPr>
            <w:tcW w:w="3119" w:type="dxa"/>
            <w:shd w:val="clear" w:color="auto" w:fill="auto"/>
            <w:vAlign w:val="bottom"/>
            <w:hideMark/>
          </w:tcPr>
          <w:p w14:paraId="0AE48C65"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informaticien</w:t>
            </w:r>
          </w:p>
        </w:tc>
        <w:tc>
          <w:tcPr>
            <w:tcW w:w="2976" w:type="dxa"/>
            <w:shd w:val="clear" w:color="auto" w:fill="auto"/>
            <w:vAlign w:val="bottom"/>
            <w:hideMark/>
          </w:tcPr>
          <w:p w14:paraId="7CEAC5F2"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Ministère de l'énergie, des mines et des énergies renouvelables</w:t>
            </w:r>
          </w:p>
        </w:tc>
      </w:tr>
      <w:tr w:rsidR="001045F9" w:rsidRPr="001045F9" w14:paraId="5E8035F5" w14:textId="77777777" w:rsidTr="00043D2A">
        <w:trPr>
          <w:trHeight w:val="301"/>
        </w:trPr>
        <w:tc>
          <w:tcPr>
            <w:tcW w:w="1040" w:type="dxa"/>
            <w:shd w:val="clear" w:color="auto" w:fill="auto"/>
            <w:noWrap/>
            <w:vAlign w:val="bottom"/>
            <w:hideMark/>
          </w:tcPr>
          <w:p w14:paraId="2D5662EC"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Mr</w:t>
            </w:r>
          </w:p>
        </w:tc>
        <w:tc>
          <w:tcPr>
            <w:tcW w:w="1932" w:type="dxa"/>
            <w:shd w:val="clear" w:color="auto" w:fill="auto"/>
            <w:vAlign w:val="bottom"/>
            <w:hideMark/>
          </w:tcPr>
          <w:p w14:paraId="661DC3B6"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Mounir Addala</w:t>
            </w:r>
          </w:p>
        </w:tc>
        <w:tc>
          <w:tcPr>
            <w:tcW w:w="3119" w:type="dxa"/>
            <w:shd w:val="clear" w:color="auto" w:fill="auto"/>
            <w:vAlign w:val="bottom"/>
            <w:hideMark/>
          </w:tcPr>
          <w:p w14:paraId="1EE9FE00"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Technicien</w:t>
            </w:r>
          </w:p>
        </w:tc>
        <w:tc>
          <w:tcPr>
            <w:tcW w:w="2976" w:type="dxa"/>
            <w:shd w:val="clear" w:color="auto" w:fill="auto"/>
            <w:vAlign w:val="bottom"/>
            <w:hideMark/>
          </w:tcPr>
          <w:p w14:paraId="11C21A86"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Ministère des affaires culturelles</w:t>
            </w:r>
          </w:p>
        </w:tc>
      </w:tr>
      <w:tr w:rsidR="001045F9" w:rsidRPr="001045F9" w14:paraId="4BDEF32A" w14:textId="77777777" w:rsidTr="00043D2A">
        <w:trPr>
          <w:trHeight w:val="301"/>
        </w:trPr>
        <w:tc>
          <w:tcPr>
            <w:tcW w:w="1040" w:type="dxa"/>
            <w:shd w:val="clear" w:color="auto" w:fill="auto"/>
            <w:noWrap/>
            <w:vAlign w:val="bottom"/>
            <w:hideMark/>
          </w:tcPr>
          <w:p w14:paraId="77A2E971"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Mr</w:t>
            </w:r>
          </w:p>
        </w:tc>
        <w:tc>
          <w:tcPr>
            <w:tcW w:w="1932" w:type="dxa"/>
            <w:shd w:val="clear" w:color="auto" w:fill="auto"/>
            <w:vAlign w:val="bottom"/>
            <w:hideMark/>
          </w:tcPr>
          <w:p w14:paraId="3FE29467"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Labidi Houssem Eddine</w:t>
            </w:r>
          </w:p>
        </w:tc>
        <w:tc>
          <w:tcPr>
            <w:tcW w:w="3119" w:type="dxa"/>
            <w:shd w:val="clear" w:color="auto" w:fill="auto"/>
            <w:vAlign w:val="bottom"/>
            <w:hideMark/>
          </w:tcPr>
          <w:p w14:paraId="72641319"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 xml:space="preserve">Analyste </w:t>
            </w:r>
          </w:p>
        </w:tc>
        <w:tc>
          <w:tcPr>
            <w:tcW w:w="2976" w:type="dxa"/>
            <w:shd w:val="clear" w:color="auto" w:fill="auto"/>
            <w:vAlign w:val="bottom"/>
            <w:hideMark/>
          </w:tcPr>
          <w:p w14:paraId="043DA491"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Ministère des affaires culturelles</w:t>
            </w:r>
          </w:p>
        </w:tc>
      </w:tr>
      <w:tr w:rsidR="001045F9" w:rsidRPr="001045F9" w14:paraId="2E0351D3" w14:textId="77777777" w:rsidTr="00043D2A">
        <w:trPr>
          <w:trHeight w:val="301"/>
        </w:trPr>
        <w:tc>
          <w:tcPr>
            <w:tcW w:w="1040" w:type="dxa"/>
            <w:shd w:val="clear" w:color="auto" w:fill="auto"/>
            <w:noWrap/>
            <w:vAlign w:val="bottom"/>
            <w:hideMark/>
          </w:tcPr>
          <w:p w14:paraId="43237DB5"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Mr</w:t>
            </w:r>
          </w:p>
        </w:tc>
        <w:tc>
          <w:tcPr>
            <w:tcW w:w="1932" w:type="dxa"/>
            <w:shd w:val="clear" w:color="auto" w:fill="auto"/>
            <w:vAlign w:val="bottom"/>
            <w:hideMark/>
          </w:tcPr>
          <w:p w14:paraId="439A4E5D" w14:textId="71D4669E"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Azouz Mo</w:t>
            </w:r>
            <w:r w:rsidR="00895E17">
              <w:rPr>
                <w:rFonts w:eastAsia="Times New Roman" w:cstheme="minorHAnsi"/>
                <w:sz w:val="24"/>
                <w:szCs w:val="24"/>
                <w:lang w:eastAsia="fr-FR"/>
              </w:rPr>
              <w:t>h</w:t>
            </w:r>
            <w:r w:rsidRPr="001045F9">
              <w:rPr>
                <w:rFonts w:eastAsia="Times New Roman" w:cstheme="minorHAnsi"/>
                <w:sz w:val="24"/>
                <w:szCs w:val="24"/>
                <w:lang w:eastAsia="fr-FR"/>
              </w:rPr>
              <w:t>amed</w:t>
            </w:r>
          </w:p>
        </w:tc>
        <w:tc>
          <w:tcPr>
            <w:tcW w:w="3119" w:type="dxa"/>
            <w:shd w:val="clear" w:color="auto" w:fill="auto"/>
            <w:vAlign w:val="bottom"/>
            <w:hideMark/>
          </w:tcPr>
          <w:p w14:paraId="11BD15D0"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informaticien</w:t>
            </w:r>
          </w:p>
        </w:tc>
        <w:tc>
          <w:tcPr>
            <w:tcW w:w="2976" w:type="dxa"/>
            <w:shd w:val="clear" w:color="auto" w:fill="auto"/>
            <w:vAlign w:val="bottom"/>
            <w:hideMark/>
          </w:tcPr>
          <w:p w14:paraId="1DFA7FBE"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Ministère des affaires culturelles</w:t>
            </w:r>
          </w:p>
        </w:tc>
      </w:tr>
      <w:tr w:rsidR="001045F9" w:rsidRPr="001045F9" w14:paraId="3230A89B" w14:textId="77777777" w:rsidTr="00043D2A">
        <w:trPr>
          <w:trHeight w:val="904"/>
        </w:trPr>
        <w:tc>
          <w:tcPr>
            <w:tcW w:w="1040" w:type="dxa"/>
            <w:shd w:val="clear" w:color="auto" w:fill="auto"/>
            <w:noWrap/>
            <w:vAlign w:val="bottom"/>
            <w:hideMark/>
          </w:tcPr>
          <w:p w14:paraId="5066CF29"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Mme</w:t>
            </w:r>
          </w:p>
        </w:tc>
        <w:tc>
          <w:tcPr>
            <w:tcW w:w="1932" w:type="dxa"/>
            <w:shd w:val="clear" w:color="auto" w:fill="auto"/>
            <w:vAlign w:val="bottom"/>
            <w:hideMark/>
          </w:tcPr>
          <w:p w14:paraId="13264AFD"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Saloua Abdel Khalek</w:t>
            </w:r>
          </w:p>
        </w:tc>
        <w:tc>
          <w:tcPr>
            <w:tcW w:w="3119" w:type="dxa"/>
            <w:shd w:val="clear" w:color="auto" w:fill="auto"/>
            <w:vAlign w:val="bottom"/>
            <w:hideMark/>
          </w:tcPr>
          <w:p w14:paraId="3F177F63" w14:textId="1CDA9EFE"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Chargée d'accès à l'</w:t>
            </w:r>
            <w:r w:rsidR="00D65E53" w:rsidRPr="00D65E53">
              <w:rPr>
                <w:rFonts w:eastAsia="Times New Roman" w:cstheme="minorHAnsi"/>
                <w:sz w:val="24"/>
                <w:szCs w:val="24"/>
                <w:lang w:eastAsia="fr-FR"/>
              </w:rPr>
              <w:t>information</w:t>
            </w:r>
            <w:r w:rsidRPr="001045F9">
              <w:rPr>
                <w:rFonts w:eastAsia="Times New Roman" w:cstheme="minorHAnsi"/>
                <w:sz w:val="24"/>
                <w:szCs w:val="24"/>
                <w:lang w:eastAsia="fr-FR"/>
              </w:rPr>
              <w:t xml:space="preserve"> et responsa</w:t>
            </w:r>
            <w:r w:rsidR="00895E17">
              <w:rPr>
                <w:rFonts w:eastAsia="Times New Roman" w:cstheme="minorHAnsi"/>
                <w:sz w:val="24"/>
                <w:szCs w:val="24"/>
                <w:lang w:eastAsia="fr-FR"/>
              </w:rPr>
              <w:t>b</w:t>
            </w:r>
            <w:r w:rsidRPr="001045F9">
              <w:rPr>
                <w:rFonts w:eastAsia="Times New Roman" w:cstheme="minorHAnsi"/>
                <w:sz w:val="24"/>
                <w:szCs w:val="24"/>
                <w:lang w:eastAsia="fr-FR"/>
              </w:rPr>
              <w:t>le du service informatique</w:t>
            </w:r>
          </w:p>
        </w:tc>
        <w:tc>
          <w:tcPr>
            <w:tcW w:w="2976" w:type="dxa"/>
            <w:shd w:val="clear" w:color="auto" w:fill="auto"/>
            <w:vAlign w:val="bottom"/>
            <w:hideMark/>
          </w:tcPr>
          <w:p w14:paraId="037ECAA4"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Ministère des affaires culturelles</w:t>
            </w:r>
          </w:p>
        </w:tc>
      </w:tr>
      <w:tr w:rsidR="001045F9" w:rsidRPr="001045F9" w14:paraId="53B2ED44" w14:textId="77777777" w:rsidTr="00043D2A">
        <w:trPr>
          <w:trHeight w:val="301"/>
        </w:trPr>
        <w:tc>
          <w:tcPr>
            <w:tcW w:w="1040" w:type="dxa"/>
            <w:shd w:val="clear" w:color="auto" w:fill="auto"/>
            <w:noWrap/>
            <w:vAlign w:val="bottom"/>
            <w:hideMark/>
          </w:tcPr>
          <w:p w14:paraId="0FC11089"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Mr</w:t>
            </w:r>
          </w:p>
        </w:tc>
        <w:tc>
          <w:tcPr>
            <w:tcW w:w="1932" w:type="dxa"/>
            <w:shd w:val="clear" w:color="auto" w:fill="auto"/>
            <w:vAlign w:val="bottom"/>
            <w:hideMark/>
          </w:tcPr>
          <w:p w14:paraId="7CA42385"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Khaled Sellami</w:t>
            </w:r>
          </w:p>
        </w:tc>
        <w:tc>
          <w:tcPr>
            <w:tcW w:w="3119" w:type="dxa"/>
            <w:shd w:val="clear" w:color="auto" w:fill="auto"/>
            <w:vAlign w:val="bottom"/>
            <w:hideMark/>
          </w:tcPr>
          <w:p w14:paraId="3FF397A8"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Directeur Général</w:t>
            </w:r>
          </w:p>
        </w:tc>
        <w:tc>
          <w:tcPr>
            <w:tcW w:w="2976" w:type="dxa"/>
            <w:shd w:val="clear" w:color="auto" w:fill="auto"/>
            <w:vAlign w:val="bottom"/>
            <w:hideMark/>
          </w:tcPr>
          <w:p w14:paraId="7F0DE90F"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UAE</w:t>
            </w:r>
          </w:p>
        </w:tc>
      </w:tr>
      <w:tr w:rsidR="001045F9" w:rsidRPr="001045F9" w14:paraId="1D980497" w14:textId="77777777" w:rsidTr="00043D2A">
        <w:trPr>
          <w:trHeight w:val="603"/>
        </w:trPr>
        <w:tc>
          <w:tcPr>
            <w:tcW w:w="1040" w:type="dxa"/>
            <w:shd w:val="clear" w:color="auto" w:fill="auto"/>
            <w:noWrap/>
            <w:vAlign w:val="bottom"/>
            <w:hideMark/>
          </w:tcPr>
          <w:p w14:paraId="12453D9F"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Mme</w:t>
            </w:r>
          </w:p>
        </w:tc>
        <w:tc>
          <w:tcPr>
            <w:tcW w:w="1932" w:type="dxa"/>
            <w:shd w:val="clear" w:color="auto" w:fill="auto"/>
            <w:vAlign w:val="bottom"/>
            <w:hideMark/>
          </w:tcPr>
          <w:p w14:paraId="0559B02B"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Rim Garnaoui</w:t>
            </w:r>
          </w:p>
        </w:tc>
        <w:tc>
          <w:tcPr>
            <w:tcW w:w="3119" w:type="dxa"/>
            <w:shd w:val="clear" w:color="auto" w:fill="auto"/>
            <w:vAlign w:val="bottom"/>
            <w:hideMark/>
          </w:tcPr>
          <w:p w14:paraId="5CC805F6"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Conseiller des Services Publics-Sous-directeur</w:t>
            </w:r>
          </w:p>
        </w:tc>
        <w:tc>
          <w:tcPr>
            <w:tcW w:w="2976" w:type="dxa"/>
            <w:shd w:val="clear" w:color="auto" w:fill="auto"/>
            <w:vAlign w:val="bottom"/>
            <w:hideMark/>
          </w:tcPr>
          <w:p w14:paraId="00998BE2"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UAE</w:t>
            </w:r>
          </w:p>
        </w:tc>
      </w:tr>
      <w:tr w:rsidR="001045F9" w:rsidRPr="001045F9" w14:paraId="67A9E2F3" w14:textId="77777777" w:rsidTr="00043D2A">
        <w:trPr>
          <w:trHeight w:val="301"/>
        </w:trPr>
        <w:tc>
          <w:tcPr>
            <w:tcW w:w="1040" w:type="dxa"/>
            <w:shd w:val="clear" w:color="auto" w:fill="auto"/>
            <w:noWrap/>
            <w:vAlign w:val="bottom"/>
            <w:hideMark/>
          </w:tcPr>
          <w:p w14:paraId="6BF4E421"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Mme</w:t>
            </w:r>
          </w:p>
        </w:tc>
        <w:tc>
          <w:tcPr>
            <w:tcW w:w="1932" w:type="dxa"/>
            <w:shd w:val="clear" w:color="auto" w:fill="auto"/>
            <w:vAlign w:val="bottom"/>
            <w:hideMark/>
          </w:tcPr>
          <w:p w14:paraId="2CE0B213"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Saoussan Moalla</w:t>
            </w:r>
          </w:p>
        </w:tc>
        <w:tc>
          <w:tcPr>
            <w:tcW w:w="3119" w:type="dxa"/>
            <w:shd w:val="clear" w:color="auto" w:fill="auto"/>
            <w:vAlign w:val="bottom"/>
            <w:hideMark/>
          </w:tcPr>
          <w:p w14:paraId="431C4A4F"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Conseiller des Services Publics</w:t>
            </w:r>
          </w:p>
        </w:tc>
        <w:tc>
          <w:tcPr>
            <w:tcW w:w="2976" w:type="dxa"/>
            <w:shd w:val="clear" w:color="auto" w:fill="auto"/>
            <w:vAlign w:val="bottom"/>
            <w:hideMark/>
          </w:tcPr>
          <w:p w14:paraId="2F5B9683"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UAE</w:t>
            </w:r>
          </w:p>
        </w:tc>
      </w:tr>
      <w:tr w:rsidR="001045F9" w:rsidRPr="001045F9" w14:paraId="3618A9CD" w14:textId="77777777" w:rsidTr="00043D2A">
        <w:trPr>
          <w:trHeight w:val="301"/>
        </w:trPr>
        <w:tc>
          <w:tcPr>
            <w:tcW w:w="1040" w:type="dxa"/>
            <w:shd w:val="clear" w:color="auto" w:fill="auto"/>
            <w:noWrap/>
            <w:vAlign w:val="bottom"/>
            <w:hideMark/>
          </w:tcPr>
          <w:p w14:paraId="7B74696D"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 xml:space="preserve">Mme </w:t>
            </w:r>
          </w:p>
        </w:tc>
        <w:tc>
          <w:tcPr>
            <w:tcW w:w="1932" w:type="dxa"/>
            <w:shd w:val="clear" w:color="auto" w:fill="auto"/>
            <w:vAlign w:val="bottom"/>
            <w:hideMark/>
          </w:tcPr>
          <w:p w14:paraId="3BFD830B"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Sonia Gharbi</w:t>
            </w:r>
          </w:p>
        </w:tc>
        <w:tc>
          <w:tcPr>
            <w:tcW w:w="3119" w:type="dxa"/>
            <w:shd w:val="clear" w:color="auto" w:fill="auto"/>
            <w:vAlign w:val="bottom"/>
            <w:hideMark/>
          </w:tcPr>
          <w:p w14:paraId="07990DFF"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Conseiller des Services Publics</w:t>
            </w:r>
          </w:p>
        </w:tc>
        <w:tc>
          <w:tcPr>
            <w:tcW w:w="2976" w:type="dxa"/>
            <w:shd w:val="clear" w:color="auto" w:fill="auto"/>
            <w:vAlign w:val="bottom"/>
            <w:hideMark/>
          </w:tcPr>
          <w:p w14:paraId="15BAB0AD"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UAE</w:t>
            </w:r>
          </w:p>
        </w:tc>
      </w:tr>
      <w:tr w:rsidR="001045F9" w:rsidRPr="001045F9" w14:paraId="3D97CBED" w14:textId="77777777" w:rsidTr="00043D2A">
        <w:trPr>
          <w:trHeight w:val="301"/>
        </w:trPr>
        <w:tc>
          <w:tcPr>
            <w:tcW w:w="1040" w:type="dxa"/>
            <w:shd w:val="clear" w:color="auto" w:fill="auto"/>
            <w:noWrap/>
            <w:vAlign w:val="bottom"/>
            <w:hideMark/>
          </w:tcPr>
          <w:p w14:paraId="6B36E5DA"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Mr</w:t>
            </w:r>
          </w:p>
        </w:tc>
        <w:tc>
          <w:tcPr>
            <w:tcW w:w="1932" w:type="dxa"/>
            <w:shd w:val="clear" w:color="auto" w:fill="auto"/>
            <w:vAlign w:val="bottom"/>
            <w:hideMark/>
          </w:tcPr>
          <w:p w14:paraId="341CC7DE"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Hédi Saidi</w:t>
            </w:r>
          </w:p>
        </w:tc>
        <w:tc>
          <w:tcPr>
            <w:tcW w:w="3119" w:type="dxa"/>
            <w:shd w:val="clear" w:color="auto" w:fill="auto"/>
            <w:vAlign w:val="bottom"/>
            <w:hideMark/>
          </w:tcPr>
          <w:p w14:paraId="4F2C6A3C"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Directeur Général</w:t>
            </w:r>
          </w:p>
        </w:tc>
        <w:tc>
          <w:tcPr>
            <w:tcW w:w="2976" w:type="dxa"/>
            <w:shd w:val="clear" w:color="auto" w:fill="auto"/>
            <w:vAlign w:val="bottom"/>
            <w:hideMark/>
          </w:tcPr>
          <w:p w14:paraId="75F470C9"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INS</w:t>
            </w:r>
          </w:p>
        </w:tc>
      </w:tr>
      <w:tr w:rsidR="001045F9" w:rsidRPr="001045F9" w14:paraId="45E00042" w14:textId="77777777" w:rsidTr="00043D2A">
        <w:trPr>
          <w:trHeight w:val="603"/>
        </w:trPr>
        <w:tc>
          <w:tcPr>
            <w:tcW w:w="1040" w:type="dxa"/>
            <w:shd w:val="clear" w:color="auto" w:fill="auto"/>
            <w:noWrap/>
            <w:vAlign w:val="bottom"/>
            <w:hideMark/>
          </w:tcPr>
          <w:p w14:paraId="03771526"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Mr</w:t>
            </w:r>
          </w:p>
        </w:tc>
        <w:tc>
          <w:tcPr>
            <w:tcW w:w="1932" w:type="dxa"/>
            <w:shd w:val="clear" w:color="auto" w:fill="auto"/>
            <w:vAlign w:val="bottom"/>
            <w:hideMark/>
          </w:tcPr>
          <w:p w14:paraId="0A730250"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Kamel Abdellaoui</w:t>
            </w:r>
          </w:p>
        </w:tc>
        <w:tc>
          <w:tcPr>
            <w:tcW w:w="3119" w:type="dxa"/>
            <w:shd w:val="clear" w:color="auto" w:fill="auto"/>
            <w:vAlign w:val="bottom"/>
            <w:hideMark/>
          </w:tcPr>
          <w:p w14:paraId="792C70AE" w14:textId="40914899" w:rsidR="001045F9" w:rsidRPr="001045F9" w:rsidRDefault="00D65E53"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Directeur</w:t>
            </w:r>
            <w:r w:rsidR="001045F9" w:rsidRPr="001045F9">
              <w:rPr>
                <w:rFonts w:eastAsia="Times New Roman" w:cstheme="minorHAnsi"/>
                <w:sz w:val="24"/>
                <w:szCs w:val="24"/>
                <w:lang w:eastAsia="fr-FR"/>
              </w:rPr>
              <w:t xml:space="preserve"> du département diffusion</w:t>
            </w:r>
          </w:p>
        </w:tc>
        <w:tc>
          <w:tcPr>
            <w:tcW w:w="2976" w:type="dxa"/>
            <w:shd w:val="clear" w:color="auto" w:fill="auto"/>
            <w:vAlign w:val="bottom"/>
            <w:hideMark/>
          </w:tcPr>
          <w:p w14:paraId="38EBB733"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INS</w:t>
            </w:r>
          </w:p>
        </w:tc>
      </w:tr>
      <w:tr w:rsidR="001045F9" w:rsidRPr="001045F9" w14:paraId="697AE46B" w14:textId="77777777" w:rsidTr="00043D2A">
        <w:trPr>
          <w:trHeight w:val="301"/>
        </w:trPr>
        <w:tc>
          <w:tcPr>
            <w:tcW w:w="1040" w:type="dxa"/>
            <w:shd w:val="clear" w:color="auto" w:fill="auto"/>
            <w:noWrap/>
            <w:vAlign w:val="bottom"/>
            <w:hideMark/>
          </w:tcPr>
          <w:p w14:paraId="3D76D0EC"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Mme</w:t>
            </w:r>
          </w:p>
        </w:tc>
        <w:tc>
          <w:tcPr>
            <w:tcW w:w="1932" w:type="dxa"/>
            <w:shd w:val="clear" w:color="auto" w:fill="auto"/>
            <w:vAlign w:val="bottom"/>
            <w:hideMark/>
          </w:tcPr>
          <w:p w14:paraId="1239CB9F"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Fathia Wichtati</w:t>
            </w:r>
          </w:p>
        </w:tc>
        <w:tc>
          <w:tcPr>
            <w:tcW w:w="3119" w:type="dxa"/>
            <w:shd w:val="clear" w:color="auto" w:fill="auto"/>
            <w:vAlign w:val="bottom"/>
            <w:hideMark/>
          </w:tcPr>
          <w:p w14:paraId="4E455D17"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Chargé d'accès à l'information</w:t>
            </w:r>
          </w:p>
        </w:tc>
        <w:tc>
          <w:tcPr>
            <w:tcW w:w="2976" w:type="dxa"/>
            <w:shd w:val="clear" w:color="auto" w:fill="auto"/>
            <w:vAlign w:val="bottom"/>
            <w:hideMark/>
          </w:tcPr>
          <w:p w14:paraId="56111C63"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INS</w:t>
            </w:r>
          </w:p>
        </w:tc>
      </w:tr>
      <w:tr w:rsidR="001045F9" w:rsidRPr="001045F9" w14:paraId="7778C8F4" w14:textId="77777777" w:rsidTr="00043D2A">
        <w:trPr>
          <w:trHeight w:val="315"/>
        </w:trPr>
        <w:tc>
          <w:tcPr>
            <w:tcW w:w="1040" w:type="dxa"/>
            <w:shd w:val="clear" w:color="auto" w:fill="auto"/>
            <w:noWrap/>
            <w:vAlign w:val="bottom"/>
            <w:hideMark/>
          </w:tcPr>
          <w:p w14:paraId="2A99D0A3"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Mr</w:t>
            </w:r>
          </w:p>
        </w:tc>
        <w:tc>
          <w:tcPr>
            <w:tcW w:w="1932" w:type="dxa"/>
            <w:shd w:val="clear" w:color="auto" w:fill="auto"/>
            <w:vAlign w:val="bottom"/>
            <w:hideMark/>
          </w:tcPr>
          <w:p w14:paraId="69E5C90A"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Amara Tlijani</w:t>
            </w:r>
          </w:p>
        </w:tc>
        <w:tc>
          <w:tcPr>
            <w:tcW w:w="3119" w:type="dxa"/>
            <w:shd w:val="clear" w:color="auto" w:fill="auto"/>
            <w:noWrap/>
            <w:vAlign w:val="bottom"/>
            <w:hideMark/>
          </w:tcPr>
          <w:p w14:paraId="2F5E7DF1" w14:textId="77777777" w:rsidR="001045F9" w:rsidRPr="001045F9" w:rsidRDefault="001045F9" w:rsidP="001045F9">
            <w:pPr>
              <w:spacing w:after="0" w:line="240" w:lineRule="auto"/>
              <w:rPr>
                <w:rFonts w:eastAsia="Times New Roman" w:cstheme="minorHAnsi"/>
                <w:color w:val="000000"/>
                <w:sz w:val="24"/>
                <w:szCs w:val="24"/>
                <w:lang w:eastAsia="fr-FR"/>
              </w:rPr>
            </w:pPr>
            <w:r w:rsidRPr="001045F9">
              <w:rPr>
                <w:rFonts w:eastAsia="Times New Roman" w:cstheme="minorHAnsi"/>
                <w:color w:val="000000"/>
                <w:sz w:val="24"/>
                <w:szCs w:val="24"/>
                <w:lang w:eastAsia="fr-FR"/>
              </w:rPr>
              <w:t>Responsable de la gouvernance</w:t>
            </w:r>
          </w:p>
        </w:tc>
        <w:tc>
          <w:tcPr>
            <w:tcW w:w="2976" w:type="dxa"/>
            <w:shd w:val="clear" w:color="auto" w:fill="auto"/>
            <w:vAlign w:val="bottom"/>
            <w:hideMark/>
          </w:tcPr>
          <w:p w14:paraId="57126350"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INS</w:t>
            </w:r>
          </w:p>
        </w:tc>
      </w:tr>
      <w:tr w:rsidR="001045F9" w:rsidRPr="001045F9" w14:paraId="0D5361EE" w14:textId="77777777" w:rsidTr="00043D2A">
        <w:trPr>
          <w:trHeight w:val="315"/>
        </w:trPr>
        <w:tc>
          <w:tcPr>
            <w:tcW w:w="1040" w:type="dxa"/>
            <w:shd w:val="clear" w:color="auto" w:fill="auto"/>
            <w:noWrap/>
            <w:vAlign w:val="bottom"/>
            <w:hideMark/>
          </w:tcPr>
          <w:p w14:paraId="6FC2311F"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Mme</w:t>
            </w:r>
          </w:p>
        </w:tc>
        <w:tc>
          <w:tcPr>
            <w:tcW w:w="1932" w:type="dxa"/>
            <w:shd w:val="clear" w:color="auto" w:fill="auto"/>
            <w:noWrap/>
            <w:vAlign w:val="bottom"/>
            <w:hideMark/>
          </w:tcPr>
          <w:p w14:paraId="07E37577" w14:textId="77777777" w:rsidR="001045F9" w:rsidRPr="001045F9" w:rsidRDefault="001045F9" w:rsidP="001045F9">
            <w:pPr>
              <w:spacing w:after="0" w:line="240" w:lineRule="auto"/>
              <w:rPr>
                <w:rFonts w:eastAsia="Times New Roman" w:cstheme="minorHAnsi"/>
                <w:color w:val="000000"/>
                <w:sz w:val="24"/>
                <w:szCs w:val="24"/>
                <w:lang w:eastAsia="fr-FR"/>
              </w:rPr>
            </w:pPr>
            <w:r w:rsidRPr="001045F9">
              <w:rPr>
                <w:rFonts w:eastAsia="Times New Roman" w:cstheme="minorHAnsi"/>
                <w:color w:val="000000"/>
                <w:sz w:val="24"/>
                <w:szCs w:val="24"/>
                <w:lang w:eastAsia="fr-FR"/>
              </w:rPr>
              <w:t>Melle Fadhila Najeh</w:t>
            </w:r>
          </w:p>
        </w:tc>
        <w:tc>
          <w:tcPr>
            <w:tcW w:w="3119" w:type="dxa"/>
            <w:shd w:val="clear" w:color="auto" w:fill="auto"/>
            <w:noWrap/>
            <w:vAlign w:val="bottom"/>
            <w:hideMark/>
          </w:tcPr>
          <w:p w14:paraId="3C1E0BCE" w14:textId="77777777" w:rsidR="001045F9" w:rsidRPr="001045F9" w:rsidRDefault="001045F9" w:rsidP="001045F9">
            <w:pPr>
              <w:spacing w:after="0" w:line="240" w:lineRule="auto"/>
              <w:rPr>
                <w:rFonts w:eastAsia="Times New Roman" w:cstheme="minorHAnsi"/>
                <w:color w:val="000000"/>
                <w:sz w:val="24"/>
                <w:szCs w:val="24"/>
                <w:lang w:eastAsia="fr-FR"/>
              </w:rPr>
            </w:pPr>
            <w:r w:rsidRPr="001045F9">
              <w:rPr>
                <w:rFonts w:eastAsia="Times New Roman" w:cstheme="minorHAnsi"/>
                <w:color w:val="000000"/>
                <w:sz w:val="24"/>
                <w:szCs w:val="24"/>
                <w:lang w:eastAsia="fr-FR"/>
              </w:rPr>
              <w:t>mise à jour de site de l'Ins</w:t>
            </w:r>
          </w:p>
        </w:tc>
        <w:tc>
          <w:tcPr>
            <w:tcW w:w="2976" w:type="dxa"/>
            <w:shd w:val="clear" w:color="auto" w:fill="auto"/>
            <w:vAlign w:val="bottom"/>
            <w:hideMark/>
          </w:tcPr>
          <w:p w14:paraId="67B7B2CD"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INS</w:t>
            </w:r>
          </w:p>
        </w:tc>
      </w:tr>
      <w:tr w:rsidR="001045F9" w:rsidRPr="001045F9" w14:paraId="1A9CBE1A" w14:textId="77777777" w:rsidTr="00043D2A">
        <w:trPr>
          <w:trHeight w:val="603"/>
        </w:trPr>
        <w:tc>
          <w:tcPr>
            <w:tcW w:w="1040" w:type="dxa"/>
            <w:shd w:val="clear" w:color="auto" w:fill="auto"/>
            <w:noWrap/>
            <w:vAlign w:val="bottom"/>
            <w:hideMark/>
          </w:tcPr>
          <w:p w14:paraId="52E099D0"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Mr</w:t>
            </w:r>
          </w:p>
        </w:tc>
        <w:tc>
          <w:tcPr>
            <w:tcW w:w="1932" w:type="dxa"/>
            <w:shd w:val="clear" w:color="auto" w:fill="auto"/>
            <w:vAlign w:val="bottom"/>
            <w:hideMark/>
          </w:tcPr>
          <w:p w14:paraId="0D799CCD"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Mossâab Dergaa</w:t>
            </w:r>
          </w:p>
        </w:tc>
        <w:tc>
          <w:tcPr>
            <w:tcW w:w="3119" w:type="dxa"/>
            <w:shd w:val="clear" w:color="auto" w:fill="auto"/>
            <w:noWrap/>
            <w:vAlign w:val="bottom"/>
            <w:hideMark/>
          </w:tcPr>
          <w:p w14:paraId="0D812EF4" w14:textId="77777777" w:rsidR="001045F9" w:rsidRPr="001045F9" w:rsidRDefault="001045F9" w:rsidP="001045F9">
            <w:pPr>
              <w:spacing w:after="0" w:line="240" w:lineRule="auto"/>
              <w:rPr>
                <w:rFonts w:eastAsia="Times New Roman" w:cstheme="minorHAnsi"/>
                <w:color w:val="000000"/>
                <w:sz w:val="24"/>
                <w:szCs w:val="24"/>
                <w:lang w:eastAsia="fr-FR"/>
              </w:rPr>
            </w:pPr>
            <w:r w:rsidRPr="001045F9">
              <w:rPr>
                <w:rFonts w:eastAsia="Times New Roman" w:cstheme="minorHAnsi"/>
                <w:color w:val="000000"/>
                <w:sz w:val="24"/>
                <w:szCs w:val="24"/>
                <w:lang w:eastAsia="fr-FR"/>
              </w:rPr>
              <w:t>sous-directeur de la diffusion </w:t>
            </w:r>
          </w:p>
        </w:tc>
        <w:tc>
          <w:tcPr>
            <w:tcW w:w="2976" w:type="dxa"/>
            <w:shd w:val="clear" w:color="auto" w:fill="auto"/>
            <w:vAlign w:val="bottom"/>
            <w:hideMark/>
          </w:tcPr>
          <w:p w14:paraId="2FF30F3F"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INS</w:t>
            </w:r>
          </w:p>
        </w:tc>
      </w:tr>
      <w:tr w:rsidR="001045F9" w:rsidRPr="001045F9" w14:paraId="343780BC" w14:textId="77777777" w:rsidTr="00043D2A">
        <w:trPr>
          <w:trHeight w:val="301"/>
        </w:trPr>
        <w:tc>
          <w:tcPr>
            <w:tcW w:w="1040" w:type="dxa"/>
            <w:shd w:val="clear" w:color="auto" w:fill="auto"/>
            <w:noWrap/>
            <w:vAlign w:val="bottom"/>
            <w:hideMark/>
          </w:tcPr>
          <w:p w14:paraId="0A35B999"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Mr</w:t>
            </w:r>
          </w:p>
        </w:tc>
        <w:tc>
          <w:tcPr>
            <w:tcW w:w="1932" w:type="dxa"/>
            <w:shd w:val="clear" w:color="auto" w:fill="auto"/>
            <w:vAlign w:val="bottom"/>
            <w:hideMark/>
          </w:tcPr>
          <w:p w14:paraId="4A1DE75E"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Ali Ben Hamouda</w:t>
            </w:r>
          </w:p>
        </w:tc>
        <w:tc>
          <w:tcPr>
            <w:tcW w:w="3119" w:type="dxa"/>
            <w:shd w:val="clear" w:color="auto" w:fill="auto"/>
            <w:vAlign w:val="bottom"/>
            <w:hideMark/>
          </w:tcPr>
          <w:p w14:paraId="7841D13E" w14:textId="77777777" w:rsidR="001045F9" w:rsidRPr="001045F9" w:rsidRDefault="001045F9" w:rsidP="001045F9">
            <w:pPr>
              <w:spacing w:after="0" w:line="240" w:lineRule="auto"/>
              <w:rPr>
                <w:rFonts w:eastAsia="Times New Roman" w:cstheme="minorHAnsi"/>
                <w:sz w:val="24"/>
                <w:szCs w:val="24"/>
                <w:lang w:eastAsia="fr-FR"/>
              </w:rPr>
            </w:pPr>
          </w:p>
        </w:tc>
        <w:tc>
          <w:tcPr>
            <w:tcW w:w="2976" w:type="dxa"/>
            <w:shd w:val="clear" w:color="auto" w:fill="auto"/>
            <w:vAlign w:val="bottom"/>
            <w:hideMark/>
          </w:tcPr>
          <w:p w14:paraId="10053E66"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Ministère du transport</w:t>
            </w:r>
          </w:p>
        </w:tc>
      </w:tr>
      <w:tr w:rsidR="001045F9" w:rsidRPr="001045F9" w14:paraId="6F756727" w14:textId="77777777" w:rsidTr="00043D2A">
        <w:trPr>
          <w:trHeight w:val="301"/>
        </w:trPr>
        <w:tc>
          <w:tcPr>
            <w:tcW w:w="1040" w:type="dxa"/>
            <w:shd w:val="clear" w:color="auto" w:fill="auto"/>
            <w:noWrap/>
            <w:vAlign w:val="bottom"/>
            <w:hideMark/>
          </w:tcPr>
          <w:p w14:paraId="5052702E"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Mr</w:t>
            </w:r>
          </w:p>
        </w:tc>
        <w:tc>
          <w:tcPr>
            <w:tcW w:w="1932" w:type="dxa"/>
            <w:shd w:val="clear" w:color="auto" w:fill="auto"/>
            <w:vAlign w:val="bottom"/>
            <w:hideMark/>
          </w:tcPr>
          <w:p w14:paraId="05A68448"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Aref Alouane</w:t>
            </w:r>
          </w:p>
        </w:tc>
        <w:tc>
          <w:tcPr>
            <w:tcW w:w="3119" w:type="dxa"/>
            <w:shd w:val="clear" w:color="auto" w:fill="auto"/>
            <w:vAlign w:val="bottom"/>
            <w:hideMark/>
          </w:tcPr>
          <w:p w14:paraId="602D8363" w14:textId="77777777" w:rsidR="001045F9" w:rsidRPr="001045F9" w:rsidRDefault="001045F9" w:rsidP="001045F9">
            <w:pPr>
              <w:spacing w:after="0" w:line="240" w:lineRule="auto"/>
              <w:rPr>
                <w:rFonts w:eastAsia="Times New Roman" w:cstheme="minorHAnsi"/>
                <w:sz w:val="24"/>
                <w:szCs w:val="24"/>
                <w:lang w:eastAsia="fr-FR"/>
              </w:rPr>
            </w:pPr>
          </w:p>
        </w:tc>
        <w:tc>
          <w:tcPr>
            <w:tcW w:w="2976" w:type="dxa"/>
            <w:shd w:val="clear" w:color="auto" w:fill="auto"/>
            <w:vAlign w:val="bottom"/>
            <w:hideMark/>
          </w:tcPr>
          <w:p w14:paraId="4D1666DF"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Ministère du transport</w:t>
            </w:r>
          </w:p>
        </w:tc>
      </w:tr>
      <w:tr w:rsidR="001045F9" w:rsidRPr="001045F9" w14:paraId="078AE4AD" w14:textId="77777777" w:rsidTr="00043D2A">
        <w:trPr>
          <w:trHeight w:val="603"/>
        </w:trPr>
        <w:tc>
          <w:tcPr>
            <w:tcW w:w="1040" w:type="dxa"/>
            <w:shd w:val="clear" w:color="auto" w:fill="auto"/>
            <w:noWrap/>
            <w:vAlign w:val="bottom"/>
            <w:hideMark/>
          </w:tcPr>
          <w:p w14:paraId="060343D3"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Mr</w:t>
            </w:r>
          </w:p>
        </w:tc>
        <w:tc>
          <w:tcPr>
            <w:tcW w:w="1932" w:type="dxa"/>
            <w:shd w:val="clear" w:color="auto" w:fill="auto"/>
            <w:vAlign w:val="bottom"/>
            <w:hideMark/>
          </w:tcPr>
          <w:p w14:paraId="464DA47C"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Ben Azzouz Anis</w:t>
            </w:r>
          </w:p>
        </w:tc>
        <w:tc>
          <w:tcPr>
            <w:tcW w:w="3119" w:type="dxa"/>
            <w:shd w:val="clear" w:color="auto" w:fill="auto"/>
            <w:vAlign w:val="bottom"/>
            <w:hideMark/>
          </w:tcPr>
          <w:p w14:paraId="2BABF0AE" w14:textId="77777777" w:rsidR="001045F9" w:rsidRPr="001045F9" w:rsidRDefault="001045F9" w:rsidP="001045F9">
            <w:pPr>
              <w:spacing w:after="0" w:line="240" w:lineRule="auto"/>
              <w:rPr>
                <w:rFonts w:eastAsia="Times New Roman" w:cstheme="minorHAnsi"/>
                <w:sz w:val="24"/>
                <w:szCs w:val="24"/>
                <w:lang w:eastAsia="fr-FR"/>
              </w:rPr>
            </w:pPr>
          </w:p>
        </w:tc>
        <w:tc>
          <w:tcPr>
            <w:tcW w:w="2976" w:type="dxa"/>
            <w:shd w:val="clear" w:color="auto" w:fill="auto"/>
            <w:vAlign w:val="bottom"/>
            <w:hideMark/>
          </w:tcPr>
          <w:p w14:paraId="7E3D0F8F"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Ministère de l'Industrie et des PME</w:t>
            </w:r>
          </w:p>
        </w:tc>
      </w:tr>
      <w:tr w:rsidR="001045F9" w:rsidRPr="001045F9" w14:paraId="7A5DD53B" w14:textId="77777777" w:rsidTr="00043D2A">
        <w:trPr>
          <w:trHeight w:val="603"/>
        </w:trPr>
        <w:tc>
          <w:tcPr>
            <w:tcW w:w="1040" w:type="dxa"/>
            <w:shd w:val="clear" w:color="auto" w:fill="auto"/>
            <w:noWrap/>
            <w:vAlign w:val="bottom"/>
            <w:hideMark/>
          </w:tcPr>
          <w:p w14:paraId="767380E9"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Mr</w:t>
            </w:r>
          </w:p>
        </w:tc>
        <w:tc>
          <w:tcPr>
            <w:tcW w:w="1932" w:type="dxa"/>
            <w:shd w:val="clear" w:color="auto" w:fill="auto"/>
            <w:vAlign w:val="bottom"/>
            <w:hideMark/>
          </w:tcPr>
          <w:p w14:paraId="48255019"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Kamel Malleh</w:t>
            </w:r>
          </w:p>
        </w:tc>
        <w:tc>
          <w:tcPr>
            <w:tcW w:w="3119" w:type="dxa"/>
            <w:shd w:val="clear" w:color="auto" w:fill="auto"/>
            <w:vAlign w:val="bottom"/>
            <w:hideMark/>
          </w:tcPr>
          <w:p w14:paraId="5A7EA6D2" w14:textId="77777777" w:rsidR="001045F9" w:rsidRPr="001045F9" w:rsidRDefault="001045F9" w:rsidP="001045F9">
            <w:pPr>
              <w:spacing w:after="0" w:line="240" w:lineRule="auto"/>
              <w:rPr>
                <w:rFonts w:eastAsia="Times New Roman" w:cstheme="minorHAnsi"/>
                <w:sz w:val="24"/>
                <w:szCs w:val="24"/>
                <w:lang w:eastAsia="fr-FR"/>
              </w:rPr>
            </w:pPr>
          </w:p>
        </w:tc>
        <w:tc>
          <w:tcPr>
            <w:tcW w:w="2976" w:type="dxa"/>
            <w:shd w:val="clear" w:color="auto" w:fill="auto"/>
            <w:vAlign w:val="bottom"/>
            <w:hideMark/>
          </w:tcPr>
          <w:p w14:paraId="47D2BB07"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Ministère de l'Industrie et des PME</w:t>
            </w:r>
          </w:p>
        </w:tc>
      </w:tr>
      <w:tr w:rsidR="001045F9" w:rsidRPr="001045F9" w14:paraId="57073CC1" w14:textId="77777777" w:rsidTr="00043D2A">
        <w:trPr>
          <w:trHeight w:val="301"/>
        </w:trPr>
        <w:tc>
          <w:tcPr>
            <w:tcW w:w="1040" w:type="dxa"/>
            <w:shd w:val="clear" w:color="auto" w:fill="auto"/>
            <w:noWrap/>
            <w:vAlign w:val="bottom"/>
            <w:hideMark/>
          </w:tcPr>
          <w:p w14:paraId="7CCA2287"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Mr</w:t>
            </w:r>
          </w:p>
        </w:tc>
        <w:tc>
          <w:tcPr>
            <w:tcW w:w="1932" w:type="dxa"/>
            <w:shd w:val="clear" w:color="auto" w:fill="auto"/>
            <w:vAlign w:val="bottom"/>
            <w:hideMark/>
          </w:tcPr>
          <w:p w14:paraId="719B9D09"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Elmayel Mourad Elarbi</w:t>
            </w:r>
          </w:p>
        </w:tc>
        <w:tc>
          <w:tcPr>
            <w:tcW w:w="3119" w:type="dxa"/>
            <w:shd w:val="clear" w:color="auto" w:fill="auto"/>
            <w:vAlign w:val="bottom"/>
            <w:hideMark/>
          </w:tcPr>
          <w:p w14:paraId="79E4562E"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Ingénieur en chef</w:t>
            </w:r>
          </w:p>
        </w:tc>
        <w:tc>
          <w:tcPr>
            <w:tcW w:w="2976" w:type="dxa"/>
            <w:shd w:val="clear" w:color="auto" w:fill="auto"/>
            <w:vAlign w:val="bottom"/>
            <w:hideMark/>
          </w:tcPr>
          <w:p w14:paraId="47CB22EA"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Ministère de l'Agriculture</w:t>
            </w:r>
          </w:p>
        </w:tc>
      </w:tr>
      <w:tr w:rsidR="001045F9" w:rsidRPr="001045F9" w14:paraId="1EFFD402" w14:textId="77777777" w:rsidTr="00043D2A">
        <w:trPr>
          <w:trHeight w:val="301"/>
        </w:trPr>
        <w:tc>
          <w:tcPr>
            <w:tcW w:w="1040" w:type="dxa"/>
            <w:shd w:val="clear" w:color="auto" w:fill="auto"/>
            <w:noWrap/>
            <w:vAlign w:val="bottom"/>
            <w:hideMark/>
          </w:tcPr>
          <w:p w14:paraId="4BB29878"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Mr</w:t>
            </w:r>
          </w:p>
        </w:tc>
        <w:tc>
          <w:tcPr>
            <w:tcW w:w="1932" w:type="dxa"/>
            <w:shd w:val="clear" w:color="auto" w:fill="auto"/>
            <w:vAlign w:val="bottom"/>
            <w:hideMark/>
          </w:tcPr>
          <w:p w14:paraId="1D902410"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Abassi Yousra</w:t>
            </w:r>
          </w:p>
        </w:tc>
        <w:tc>
          <w:tcPr>
            <w:tcW w:w="3119" w:type="dxa"/>
            <w:shd w:val="clear" w:color="auto" w:fill="auto"/>
            <w:vAlign w:val="bottom"/>
            <w:hideMark/>
          </w:tcPr>
          <w:p w14:paraId="3DC445F1" w14:textId="7703962C" w:rsidR="001045F9" w:rsidRPr="001045F9" w:rsidRDefault="00D65E53" w:rsidP="001045F9">
            <w:pPr>
              <w:spacing w:after="0" w:line="240" w:lineRule="auto"/>
              <w:rPr>
                <w:rFonts w:eastAsia="Times New Roman" w:cstheme="minorHAnsi"/>
                <w:sz w:val="24"/>
                <w:szCs w:val="24"/>
                <w:lang w:eastAsia="fr-FR"/>
              </w:rPr>
            </w:pPr>
            <w:r>
              <w:rPr>
                <w:rFonts w:eastAsia="Times New Roman" w:cstheme="minorHAnsi"/>
                <w:sz w:val="24"/>
                <w:szCs w:val="24"/>
                <w:lang w:eastAsia="fr-FR"/>
              </w:rPr>
              <w:t>Conseiller des Services</w:t>
            </w:r>
            <w:r w:rsidR="001045F9" w:rsidRPr="001045F9">
              <w:rPr>
                <w:rFonts w:eastAsia="Times New Roman" w:cstheme="minorHAnsi"/>
                <w:sz w:val="24"/>
                <w:szCs w:val="24"/>
                <w:lang w:eastAsia="fr-FR"/>
              </w:rPr>
              <w:t xml:space="preserve"> Publics</w:t>
            </w:r>
          </w:p>
        </w:tc>
        <w:tc>
          <w:tcPr>
            <w:tcW w:w="2976" w:type="dxa"/>
            <w:shd w:val="clear" w:color="auto" w:fill="auto"/>
            <w:vAlign w:val="bottom"/>
            <w:hideMark/>
          </w:tcPr>
          <w:p w14:paraId="2DBBF702"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Ministère de l'Agriculture</w:t>
            </w:r>
          </w:p>
        </w:tc>
      </w:tr>
      <w:tr w:rsidR="001045F9" w:rsidRPr="001045F9" w14:paraId="6B26F62D" w14:textId="77777777" w:rsidTr="00043D2A">
        <w:trPr>
          <w:trHeight w:val="301"/>
        </w:trPr>
        <w:tc>
          <w:tcPr>
            <w:tcW w:w="1040" w:type="dxa"/>
            <w:shd w:val="clear" w:color="auto" w:fill="auto"/>
            <w:noWrap/>
            <w:vAlign w:val="bottom"/>
            <w:hideMark/>
          </w:tcPr>
          <w:p w14:paraId="577500C1"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Mr</w:t>
            </w:r>
          </w:p>
        </w:tc>
        <w:tc>
          <w:tcPr>
            <w:tcW w:w="1932" w:type="dxa"/>
            <w:shd w:val="clear" w:color="auto" w:fill="auto"/>
            <w:vAlign w:val="bottom"/>
            <w:hideMark/>
          </w:tcPr>
          <w:p w14:paraId="3EAAD683"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Bouthouri Houssine</w:t>
            </w:r>
          </w:p>
        </w:tc>
        <w:tc>
          <w:tcPr>
            <w:tcW w:w="3119" w:type="dxa"/>
            <w:shd w:val="clear" w:color="auto" w:fill="auto"/>
            <w:vAlign w:val="bottom"/>
            <w:hideMark/>
          </w:tcPr>
          <w:p w14:paraId="3AF436BB" w14:textId="77777777" w:rsidR="001045F9" w:rsidRPr="001045F9" w:rsidRDefault="001045F9" w:rsidP="001045F9">
            <w:pPr>
              <w:spacing w:after="0" w:line="240" w:lineRule="auto"/>
              <w:rPr>
                <w:rFonts w:eastAsia="Times New Roman" w:cstheme="minorHAnsi"/>
                <w:sz w:val="24"/>
                <w:szCs w:val="24"/>
                <w:lang w:eastAsia="fr-FR"/>
              </w:rPr>
            </w:pPr>
          </w:p>
        </w:tc>
        <w:tc>
          <w:tcPr>
            <w:tcW w:w="2976" w:type="dxa"/>
            <w:shd w:val="clear" w:color="auto" w:fill="auto"/>
            <w:vAlign w:val="bottom"/>
            <w:hideMark/>
          </w:tcPr>
          <w:p w14:paraId="45E4874A"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Ministère de l'Agriculture</w:t>
            </w:r>
          </w:p>
        </w:tc>
      </w:tr>
      <w:tr w:rsidR="001045F9" w:rsidRPr="001045F9" w14:paraId="547D8432" w14:textId="77777777" w:rsidTr="00043D2A">
        <w:trPr>
          <w:trHeight w:val="301"/>
        </w:trPr>
        <w:tc>
          <w:tcPr>
            <w:tcW w:w="1040" w:type="dxa"/>
            <w:shd w:val="clear" w:color="auto" w:fill="auto"/>
            <w:noWrap/>
            <w:vAlign w:val="bottom"/>
            <w:hideMark/>
          </w:tcPr>
          <w:p w14:paraId="50BF0373" w14:textId="77777777" w:rsidR="001045F9" w:rsidRPr="001045F9" w:rsidRDefault="001045F9" w:rsidP="001045F9">
            <w:pPr>
              <w:spacing w:after="0" w:line="240" w:lineRule="auto"/>
              <w:rPr>
                <w:rFonts w:eastAsia="Times New Roman" w:cstheme="minorHAnsi"/>
                <w:sz w:val="24"/>
                <w:szCs w:val="24"/>
                <w:lang w:eastAsia="fr-FR"/>
              </w:rPr>
            </w:pPr>
          </w:p>
        </w:tc>
        <w:tc>
          <w:tcPr>
            <w:tcW w:w="1932" w:type="dxa"/>
            <w:shd w:val="clear" w:color="auto" w:fill="auto"/>
            <w:vAlign w:val="bottom"/>
            <w:hideMark/>
          </w:tcPr>
          <w:p w14:paraId="4AF42A38" w14:textId="77777777" w:rsidR="001045F9" w:rsidRPr="001045F9" w:rsidRDefault="001045F9" w:rsidP="001045F9">
            <w:pPr>
              <w:spacing w:after="0" w:line="240" w:lineRule="auto"/>
              <w:rPr>
                <w:rFonts w:eastAsia="Times New Roman" w:cstheme="minorHAnsi"/>
                <w:sz w:val="24"/>
                <w:szCs w:val="24"/>
                <w:lang w:eastAsia="fr-FR"/>
              </w:rPr>
            </w:pPr>
          </w:p>
        </w:tc>
        <w:tc>
          <w:tcPr>
            <w:tcW w:w="3119" w:type="dxa"/>
            <w:shd w:val="clear" w:color="auto" w:fill="auto"/>
            <w:vAlign w:val="bottom"/>
            <w:hideMark/>
          </w:tcPr>
          <w:p w14:paraId="14047F36" w14:textId="77777777" w:rsidR="001045F9" w:rsidRPr="001045F9" w:rsidRDefault="001045F9" w:rsidP="001045F9">
            <w:pPr>
              <w:spacing w:after="0" w:line="240" w:lineRule="auto"/>
              <w:rPr>
                <w:rFonts w:eastAsia="Times New Roman" w:cstheme="minorHAnsi"/>
                <w:sz w:val="24"/>
                <w:szCs w:val="24"/>
                <w:lang w:eastAsia="fr-FR"/>
              </w:rPr>
            </w:pPr>
          </w:p>
        </w:tc>
        <w:tc>
          <w:tcPr>
            <w:tcW w:w="2976" w:type="dxa"/>
            <w:shd w:val="clear" w:color="auto" w:fill="auto"/>
            <w:vAlign w:val="bottom"/>
            <w:hideMark/>
          </w:tcPr>
          <w:p w14:paraId="0B90FE6E" w14:textId="77777777" w:rsidR="001045F9" w:rsidRPr="001045F9" w:rsidRDefault="001045F9" w:rsidP="001045F9">
            <w:pPr>
              <w:spacing w:after="0" w:line="240" w:lineRule="auto"/>
              <w:rPr>
                <w:rFonts w:eastAsia="Times New Roman" w:cstheme="minorHAnsi"/>
                <w:sz w:val="24"/>
                <w:szCs w:val="24"/>
                <w:lang w:eastAsia="fr-FR"/>
              </w:rPr>
            </w:pPr>
          </w:p>
        </w:tc>
      </w:tr>
      <w:tr w:rsidR="001045F9" w:rsidRPr="001045F9" w14:paraId="0D211DEB" w14:textId="77777777" w:rsidTr="00043D2A">
        <w:trPr>
          <w:trHeight w:val="603"/>
        </w:trPr>
        <w:tc>
          <w:tcPr>
            <w:tcW w:w="1040" w:type="dxa"/>
            <w:shd w:val="clear" w:color="auto" w:fill="auto"/>
            <w:noWrap/>
            <w:vAlign w:val="bottom"/>
            <w:hideMark/>
          </w:tcPr>
          <w:p w14:paraId="6E4561E1"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Mme</w:t>
            </w:r>
          </w:p>
        </w:tc>
        <w:tc>
          <w:tcPr>
            <w:tcW w:w="1932" w:type="dxa"/>
            <w:shd w:val="clear" w:color="auto" w:fill="auto"/>
            <w:noWrap/>
            <w:vAlign w:val="center"/>
            <w:hideMark/>
          </w:tcPr>
          <w:p w14:paraId="76C8EE45" w14:textId="77777777" w:rsidR="001045F9" w:rsidRPr="001045F9" w:rsidRDefault="00E8606D" w:rsidP="001045F9">
            <w:pPr>
              <w:spacing w:after="0" w:line="240" w:lineRule="auto"/>
              <w:rPr>
                <w:rFonts w:eastAsia="Times New Roman" w:cstheme="minorHAnsi"/>
                <w:sz w:val="24"/>
                <w:szCs w:val="24"/>
                <w:lang w:eastAsia="fr-FR"/>
              </w:rPr>
            </w:pPr>
            <w:hyperlink r:id="rId45" w:history="1">
              <w:r w:rsidR="001045F9" w:rsidRPr="00D65E53">
                <w:rPr>
                  <w:rFonts w:eastAsia="Times New Roman" w:cstheme="minorHAnsi"/>
                  <w:sz w:val="24"/>
                  <w:szCs w:val="24"/>
                  <w:lang w:eastAsia="fr-FR"/>
                </w:rPr>
                <w:t>Hajer Jemili</w:t>
              </w:r>
            </w:hyperlink>
          </w:p>
        </w:tc>
        <w:tc>
          <w:tcPr>
            <w:tcW w:w="3119" w:type="dxa"/>
            <w:shd w:val="clear" w:color="auto" w:fill="auto"/>
            <w:vAlign w:val="bottom"/>
            <w:hideMark/>
          </w:tcPr>
          <w:p w14:paraId="1569BEE3"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inspecteur central des communications, chef de service</w:t>
            </w:r>
          </w:p>
        </w:tc>
        <w:tc>
          <w:tcPr>
            <w:tcW w:w="2976" w:type="dxa"/>
            <w:shd w:val="clear" w:color="auto" w:fill="auto"/>
            <w:vAlign w:val="bottom"/>
            <w:hideMark/>
          </w:tcPr>
          <w:p w14:paraId="14CCBAA6"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MTCEN</w:t>
            </w:r>
          </w:p>
        </w:tc>
      </w:tr>
      <w:tr w:rsidR="001045F9" w:rsidRPr="001045F9" w14:paraId="20CC3DDC" w14:textId="77777777" w:rsidTr="00043D2A">
        <w:trPr>
          <w:trHeight w:val="301"/>
        </w:trPr>
        <w:tc>
          <w:tcPr>
            <w:tcW w:w="1040" w:type="dxa"/>
            <w:shd w:val="clear" w:color="auto" w:fill="auto"/>
            <w:noWrap/>
            <w:vAlign w:val="bottom"/>
            <w:hideMark/>
          </w:tcPr>
          <w:p w14:paraId="4A8568E8"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Mme</w:t>
            </w:r>
          </w:p>
        </w:tc>
        <w:tc>
          <w:tcPr>
            <w:tcW w:w="1932" w:type="dxa"/>
            <w:shd w:val="clear" w:color="auto" w:fill="auto"/>
            <w:noWrap/>
            <w:vAlign w:val="center"/>
            <w:hideMark/>
          </w:tcPr>
          <w:p w14:paraId="7B167062" w14:textId="77777777" w:rsidR="001045F9" w:rsidRPr="001045F9" w:rsidRDefault="00E8606D" w:rsidP="001045F9">
            <w:pPr>
              <w:spacing w:after="0" w:line="240" w:lineRule="auto"/>
              <w:rPr>
                <w:rFonts w:eastAsia="Times New Roman" w:cstheme="minorHAnsi"/>
                <w:sz w:val="24"/>
                <w:szCs w:val="24"/>
                <w:lang w:eastAsia="fr-FR"/>
              </w:rPr>
            </w:pPr>
            <w:hyperlink r:id="rId46" w:history="1">
              <w:r w:rsidR="001045F9" w:rsidRPr="00D65E53">
                <w:rPr>
                  <w:rFonts w:eastAsia="Times New Roman" w:cstheme="minorHAnsi"/>
                  <w:sz w:val="24"/>
                  <w:szCs w:val="24"/>
                  <w:lang w:eastAsia="fr-FR"/>
                </w:rPr>
                <w:t>Thouraya Ezzine</w:t>
              </w:r>
            </w:hyperlink>
          </w:p>
        </w:tc>
        <w:tc>
          <w:tcPr>
            <w:tcW w:w="3119" w:type="dxa"/>
            <w:shd w:val="clear" w:color="auto" w:fill="auto"/>
            <w:vAlign w:val="bottom"/>
            <w:hideMark/>
          </w:tcPr>
          <w:p w14:paraId="26E25338"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directrice générale</w:t>
            </w:r>
          </w:p>
        </w:tc>
        <w:tc>
          <w:tcPr>
            <w:tcW w:w="2976" w:type="dxa"/>
            <w:shd w:val="clear" w:color="auto" w:fill="auto"/>
            <w:vAlign w:val="bottom"/>
            <w:hideMark/>
          </w:tcPr>
          <w:p w14:paraId="539F494F"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MTCEN</w:t>
            </w:r>
          </w:p>
        </w:tc>
      </w:tr>
      <w:tr w:rsidR="001045F9" w:rsidRPr="001045F9" w14:paraId="04B41FE3" w14:textId="77777777" w:rsidTr="00043D2A">
        <w:trPr>
          <w:trHeight w:val="603"/>
        </w:trPr>
        <w:tc>
          <w:tcPr>
            <w:tcW w:w="1040" w:type="dxa"/>
            <w:shd w:val="clear" w:color="auto" w:fill="auto"/>
            <w:noWrap/>
            <w:vAlign w:val="bottom"/>
            <w:hideMark/>
          </w:tcPr>
          <w:p w14:paraId="71F5B3DD"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Mr</w:t>
            </w:r>
          </w:p>
        </w:tc>
        <w:tc>
          <w:tcPr>
            <w:tcW w:w="1932" w:type="dxa"/>
            <w:shd w:val="clear" w:color="auto" w:fill="auto"/>
            <w:vAlign w:val="bottom"/>
            <w:hideMark/>
          </w:tcPr>
          <w:p w14:paraId="7A022230"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Habib Wenish</w:t>
            </w:r>
          </w:p>
        </w:tc>
        <w:tc>
          <w:tcPr>
            <w:tcW w:w="3119" w:type="dxa"/>
            <w:shd w:val="clear" w:color="auto" w:fill="auto"/>
            <w:vAlign w:val="bottom"/>
            <w:hideMark/>
          </w:tcPr>
          <w:p w14:paraId="3EE683D9" w14:textId="77777777" w:rsidR="001045F9" w:rsidRPr="001045F9" w:rsidRDefault="001045F9" w:rsidP="001045F9">
            <w:pPr>
              <w:spacing w:after="0" w:line="240" w:lineRule="auto"/>
              <w:rPr>
                <w:rFonts w:eastAsia="Times New Roman" w:cstheme="minorHAnsi"/>
                <w:sz w:val="24"/>
                <w:szCs w:val="24"/>
                <w:lang w:eastAsia="fr-FR"/>
              </w:rPr>
            </w:pPr>
          </w:p>
        </w:tc>
        <w:tc>
          <w:tcPr>
            <w:tcW w:w="2976" w:type="dxa"/>
            <w:shd w:val="clear" w:color="auto" w:fill="auto"/>
            <w:vAlign w:val="bottom"/>
            <w:hideMark/>
          </w:tcPr>
          <w:p w14:paraId="2C5CF1C7"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FSVC</w:t>
            </w:r>
          </w:p>
        </w:tc>
      </w:tr>
      <w:tr w:rsidR="001045F9" w:rsidRPr="001045F9" w14:paraId="3AA7BE03" w14:textId="77777777" w:rsidTr="00043D2A">
        <w:trPr>
          <w:trHeight w:val="603"/>
        </w:trPr>
        <w:tc>
          <w:tcPr>
            <w:tcW w:w="1040" w:type="dxa"/>
            <w:shd w:val="clear" w:color="auto" w:fill="auto"/>
            <w:noWrap/>
            <w:vAlign w:val="bottom"/>
            <w:hideMark/>
          </w:tcPr>
          <w:p w14:paraId="0D37EA9C"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Mme</w:t>
            </w:r>
          </w:p>
        </w:tc>
        <w:tc>
          <w:tcPr>
            <w:tcW w:w="1932" w:type="dxa"/>
            <w:shd w:val="clear" w:color="auto" w:fill="auto"/>
            <w:vAlign w:val="bottom"/>
            <w:hideMark/>
          </w:tcPr>
          <w:p w14:paraId="35301D6B"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Hajer Trabelsi</w:t>
            </w:r>
          </w:p>
        </w:tc>
        <w:tc>
          <w:tcPr>
            <w:tcW w:w="3119" w:type="dxa"/>
            <w:shd w:val="clear" w:color="auto" w:fill="auto"/>
            <w:vAlign w:val="bottom"/>
            <w:hideMark/>
          </w:tcPr>
          <w:p w14:paraId="11E554EF"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Présidente</w:t>
            </w:r>
          </w:p>
        </w:tc>
        <w:tc>
          <w:tcPr>
            <w:tcW w:w="2976" w:type="dxa"/>
            <w:shd w:val="clear" w:color="auto" w:fill="auto"/>
            <w:vAlign w:val="bottom"/>
            <w:hideMark/>
          </w:tcPr>
          <w:p w14:paraId="25F81E1B"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GoACT</w:t>
            </w:r>
          </w:p>
        </w:tc>
      </w:tr>
      <w:tr w:rsidR="001045F9" w:rsidRPr="001045F9" w14:paraId="7C61D4B5" w14:textId="77777777" w:rsidTr="00043D2A">
        <w:trPr>
          <w:trHeight w:val="603"/>
        </w:trPr>
        <w:tc>
          <w:tcPr>
            <w:tcW w:w="1040" w:type="dxa"/>
            <w:shd w:val="clear" w:color="auto" w:fill="auto"/>
            <w:noWrap/>
            <w:vAlign w:val="bottom"/>
            <w:hideMark/>
          </w:tcPr>
          <w:p w14:paraId="50314883"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Mr</w:t>
            </w:r>
          </w:p>
        </w:tc>
        <w:tc>
          <w:tcPr>
            <w:tcW w:w="1932" w:type="dxa"/>
            <w:shd w:val="clear" w:color="auto" w:fill="auto"/>
            <w:vAlign w:val="bottom"/>
            <w:hideMark/>
          </w:tcPr>
          <w:p w14:paraId="0DB7B81D"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Karim Belhaj Aissa</w:t>
            </w:r>
          </w:p>
        </w:tc>
        <w:tc>
          <w:tcPr>
            <w:tcW w:w="3119" w:type="dxa"/>
            <w:shd w:val="clear" w:color="auto" w:fill="auto"/>
            <w:vAlign w:val="bottom"/>
            <w:hideMark/>
          </w:tcPr>
          <w:p w14:paraId="5C1EE0F0"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Gestionnaire de projet</w:t>
            </w:r>
          </w:p>
        </w:tc>
        <w:tc>
          <w:tcPr>
            <w:tcW w:w="2976" w:type="dxa"/>
            <w:shd w:val="clear" w:color="auto" w:fill="auto"/>
            <w:vAlign w:val="bottom"/>
            <w:hideMark/>
          </w:tcPr>
          <w:p w14:paraId="27A83E11" w14:textId="4A11A665"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 xml:space="preserve">Association Tunisienne des </w:t>
            </w:r>
            <w:r w:rsidR="00D65E53" w:rsidRPr="001045F9">
              <w:rPr>
                <w:rFonts w:eastAsia="Times New Roman" w:cstheme="minorHAnsi"/>
                <w:sz w:val="24"/>
                <w:szCs w:val="24"/>
                <w:lang w:eastAsia="fr-FR"/>
              </w:rPr>
              <w:t>Contrôleurs</w:t>
            </w:r>
            <w:r w:rsidRPr="001045F9">
              <w:rPr>
                <w:rFonts w:eastAsia="Times New Roman" w:cstheme="minorHAnsi"/>
                <w:sz w:val="24"/>
                <w:szCs w:val="24"/>
                <w:lang w:eastAsia="fr-FR"/>
              </w:rPr>
              <w:t xml:space="preserve"> Publics</w:t>
            </w:r>
          </w:p>
        </w:tc>
      </w:tr>
      <w:tr w:rsidR="001045F9" w:rsidRPr="001045F9" w14:paraId="6B252CD2" w14:textId="77777777" w:rsidTr="00043D2A">
        <w:trPr>
          <w:trHeight w:val="603"/>
        </w:trPr>
        <w:tc>
          <w:tcPr>
            <w:tcW w:w="1040" w:type="dxa"/>
            <w:shd w:val="clear" w:color="auto" w:fill="auto"/>
            <w:noWrap/>
            <w:vAlign w:val="bottom"/>
            <w:hideMark/>
          </w:tcPr>
          <w:p w14:paraId="502A2F58"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Mme</w:t>
            </w:r>
          </w:p>
        </w:tc>
        <w:tc>
          <w:tcPr>
            <w:tcW w:w="1932" w:type="dxa"/>
            <w:shd w:val="clear" w:color="auto" w:fill="auto"/>
            <w:vAlign w:val="bottom"/>
            <w:hideMark/>
          </w:tcPr>
          <w:p w14:paraId="7D672C17"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Bouazza Sihem</w:t>
            </w:r>
          </w:p>
        </w:tc>
        <w:tc>
          <w:tcPr>
            <w:tcW w:w="3119" w:type="dxa"/>
            <w:shd w:val="clear" w:color="auto" w:fill="auto"/>
            <w:vAlign w:val="bottom"/>
            <w:hideMark/>
          </w:tcPr>
          <w:p w14:paraId="7A13687C"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Présidente</w:t>
            </w:r>
          </w:p>
        </w:tc>
        <w:tc>
          <w:tcPr>
            <w:tcW w:w="2976" w:type="dxa"/>
            <w:shd w:val="clear" w:color="auto" w:fill="auto"/>
            <w:vAlign w:val="bottom"/>
            <w:hideMark/>
          </w:tcPr>
          <w:p w14:paraId="559C603F"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Association Tunisienne de Droit du Développement</w:t>
            </w:r>
          </w:p>
        </w:tc>
      </w:tr>
      <w:tr w:rsidR="001045F9" w:rsidRPr="001045F9" w14:paraId="105ECCBB" w14:textId="77777777" w:rsidTr="00043D2A">
        <w:trPr>
          <w:trHeight w:val="301"/>
        </w:trPr>
        <w:tc>
          <w:tcPr>
            <w:tcW w:w="1040" w:type="dxa"/>
            <w:shd w:val="clear" w:color="auto" w:fill="auto"/>
            <w:noWrap/>
            <w:vAlign w:val="bottom"/>
            <w:hideMark/>
          </w:tcPr>
          <w:p w14:paraId="0C356FA0"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Mme</w:t>
            </w:r>
          </w:p>
        </w:tc>
        <w:tc>
          <w:tcPr>
            <w:tcW w:w="1932" w:type="dxa"/>
            <w:shd w:val="clear" w:color="auto" w:fill="auto"/>
            <w:vAlign w:val="bottom"/>
            <w:hideMark/>
          </w:tcPr>
          <w:p w14:paraId="79080000"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Ben Khelil Dorsaf</w:t>
            </w:r>
          </w:p>
        </w:tc>
        <w:tc>
          <w:tcPr>
            <w:tcW w:w="3119" w:type="dxa"/>
            <w:shd w:val="clear" w:color="auto" w:fill="auto"/>
            <w:vAlign w:val="bottom"/>
            <w:hideMark/>
          </w:tcPr>
          <w:p w14:paraId="42F4E6A7" w14:textId="77777777" w:rsidR="001045F9" w:rsidRPr="001045F9" w:rsidRDefault="001045F9" w:rsidP="001045F9">
            <w:pPr>
              <w:spacing w:after="0" w:line="240" w:lineRule="auto"/>
              <w:rPr>
                <w:rFonts w:eastAsia="Times New Roman" w:cstheme="minorHAnsi"/>
                <w:sz w:val="24"/>
                <w:szCs w:val="24"/>
                <w:lang w:eastAsia="fr-FR"/>
              </w:rPr>
            </w:pPr>
          </w:p>
        </w:tc>
        <w:tc>
          <w:tcPr>
            <w:tcW w:w="2976" w:type="dxa"/>
            <w:shd w:val="clear" w:color="auto" w:fill="auto"/>
            <w:vAlign w:val="bottom"/>
            <w:hideMark/>
          </w:tcPr>
          <w:p w14:paraId="484168D0"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Ministère de l'éducation</w:t>
            </w:r>
          </w:p>
        </w:tc>
      </w:tr>
      <w:tr w:rsidR="001045F9" w:rsidRPr="001045F9" w14:paraId="5B616733" w14:textId="77777777" w:rsidTr="00043D2A">
        <w:trPr>
          <w:trHeight w:val="603"/>
        </w:trPr>
        <w:tc>
          <w:tcPr>
            <w:tcW w:w="1040" w:type="dxa"/>
            <w:shd w:val="clear" w:color="auto" w:fill="auto"/>
            <w:noWrap/>
            <w:vAlign w:val="bottom"/>
            <w:hideMark/>
          </w:tcPr>
          <w:p w14:paraId="1FE0DB42"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 xml:space="preserve">Mr </w:t>
            </w:r>
          </w:p>
        </w:tc>
        <w:tc>
          <w:tcPr>
            <w:tcW w:w="1932" w:type="dxa"/>
            <w:shd w:val="clear" w:color="auto" w:fill="auto"/>
            <w:vAlign w:val="bottom"/>
            <w:hideMark/>
          </w:tcPr>
          <w:p w14:paraId="104824BB"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Hatem Ezzeddine</w:t>
            </w:r>
          </w:p>
        </w:tc>
        <w:tc>
          <w:tcPr>
            <w:tcW w:w="3119" w:type="dxa"/>
            <w:shd w:val="clear" w:color="auto" w:fill="auto"/>
            <w:vAlign w:val="bottom"/>
            <w:hideMark/>
          </w:tcPr>
          <w:p w14:paraId="3AB5E4CA"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Chef de cellule de bonne gouvernance</w:t>
            </w:r>
          </w:p>
        </w:tc>
        <w:tc>
          <w:tcPr>
            <w:tcW w:w="2976" w:type="dxa"/>
            <w:shd w:val="clear" w:color="auto" w:fill="auto"/>
            <w:vAlign w:val="bottom"/>
            <w:hideMark/>
          </w:tcPr>
          <w:p w14:paraId="6F16DE77"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Ministère de l'éducation</w:t>
            </w:r>
          </w:p>
        </w:tc>
      </w:tr>
      <w:tr w:rsidR="001045F9" w:rsidRPr="001045F9" w14:paraId="4C791C66" w14:textId="77777777" w:rsidTr="00043D2A">
        <w:trPr>
          <w:trHeight w:val="301"/>
        </w:trPr>
        <w:tc>
          <w:tcPr>
            <w:tcW w:w="1040" w:type="dxa"/>
            <w:shd w:val="clear" w:color="auto" w:fill="auto"/>
            <w:noWrap/>
            <w:vAlign w:val="bottom"/>
            <w:hideMark/>
          </w:tcPr>
          <w:p w14:paraId="42C105FD"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Mme</w:t>
            </w:r>
          </w:p>
        </w:tc>
        <w:tc>
          <w:tcPr>
            <w:tcW w:w="1932" w:type="dxa"/>
            <w:shd w:val="clear" w:color="auto" w:fill="auto"/>
            <w:vAlign w:val="bottom"/>
            <w:hideMark/>
          </w:tcPr>
          <w:p w14:paraId="020F9B6C"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Monia Chaabane</w:t>
            </w:r>
          </w:p>
        </w:tc>
        <w:tc>
          <w:tcPr>
            <w:tcW w:w="3119" w:type="dxa"/>
            <w:shd w:val="clear" w:color="auto" w:fill="auto"/>
            <w:vAlign w:val="bottom"/>
            <w:hideMark/>
          </w:tcPr>
          <w:p w14:paraId="2BCA2FEA" w14:textId="77777777" w:rsidR="001045F9" w:rsidRPr="001045F9" w:rsidRDefault="001045F9" w:rsidP="001045F9">
            <w:pPr>
              <w:spacing w:after="0" w:line="240" w:lineRule="auto"/>
              <w:rPr>
                <w:rFonts w:eastAsia="Times New Roman" w:cstheme="minorHAnsi"/>
                <w:sz w:val="24"/>
                <w:szCs w:val="24"/>
                <w:lang w:eastAsia="fr-FR"/>
              </w:rPr>
            </w:pPr>
          </w:p>
        </w:tc>
        <w:tc>
          <w:tcPr>
            <w:tcW w:w="2976" w:type="dxa"/>
            <w:shd w:val="clear" w:color="auto" w:fill="auto"/>
            <w:vAlign w:val="bottom"/>
            <w:hideMark/>
          </w:tcPr>
          <w:p w14:paraId="069CE7E6"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Ministère de l'éducation</w:t>
            </w:r>
          </w:p>
        </w:tc>
      </w:tr>
      <w:tr w:rsidR="001045F9" w:rsidRPr="001045F9" w14:paraId="210A5155" w14:textId="77777777" w:rsidTr="00043D2A">
        <w:trPr>
          <w:trHeight w:val="603"/>
        </w:trPr>
        <w:tc>
          <w:tcPr>
            <w:tcW w:w="1040" w:type="dxa"/>
            <w:shd w:val="clear" w:color="auto" w:fill="auto"/>
            <w:noWrap/>
            <w:vAlign w:val="bottom"/>
            <w:hideMark/>
          </w:tcPr>
          <w:p w14:paraId="5D435795"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 xml:space="preserve">Mme </w:t>
            </w:r>
          </w:p>
        </w:tc>
        <w:tc>
          <w:tcPr>
            <w:tcW w:w="1932" w:type="dxa"/>
            <w:shd w:val="clear" w:color="auto" w:fill="auto"/>
            <w:vAlign w:val="bottom"/>
            <w:hideMark/>
          </w:tcPr>
          <w:p w14:paraId="7B83E9DC"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Alaya Basma</w:t>
            </w:r>
          </w:p>
        </w:tc>
        <w:tc>
          <w:tcPr>
            <w:tcW w:w="3119" w:type="dxa"/>
            <w:shd w:val="clear" w:color="auto" w:fill="auto"/>
            <w:vAlign w:val="bottom"/>
            <w:hideMark/>
          </w:tcPr>
          <w:p w14:paraId="0EAF8AFF"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Chef Bureau des Relations avec les Citoyens</w:t>
            </w:r>
          </w:p>
        </w:tc>
        <w:tc>
          <w:tcPr>
            <w:tcW w:w="2976" w:type="dxa"/>
            <w:shd w:val="clear" w:color="auto" w:fill="auto"/>
            <w:vAlign w:val="bottom"/>
            <w:hideMark/>
          </w:tcPr>
          <w:p w14:paraId="7F7405AA"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Ministère de la santé</w:t>
            </w:r>
          </w:p>
        </w:tc>
      </w:tr>
      <w:tr w:rsidR="001045F9" w:rsidRPr="001045F9" w14:paraId="761839CB" w14:textId="77777777" w:rsidTr="00043D2A">
        <w:trPr>
          <w:trHeight w:val="603"/>
        </w:trPr>
        <w:tc>
          <w:tcPr>
            <w:tcW w:w="1040" w:type="dxa"/>
            <w:shd w:val="clear" w:color="auto" w:fill="auto"/>
            <w:noWrap/>
            <w:vAlign w:val="bottom"/>
            <w:hideMark/>
          </w:tcPr>
          <w:p w14:paraId="23DEE60C"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 xml:space="preserve">Mme </w:t>
            </w:r>
          </w:p>
        </w:tc>
        <w:tc>
          <w:tcPr>
            <w:tcW w:w="1932" w:type="dxa"/>
            <w:shd w:val="clear" w:color="auto" w:fill="auto"/>
            <w:vAlign w:val="bottom"/>
            <w:hideMark/>
          </w:tcPr>
          <w:p w14:paraId="392C2EBB"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Samira Idoudi</w:t>
            </w:r>
          </w:p>
        </w:tc>
        <w:tc>
          <w:tcPr>
            <w:tcW w:w="3119" w:type="dxa"/>
            <w:shd w:val="clear" w:color="auto" w:fill="auto"/>
            <w:vAlign w:val="bottom"/>
            <w:hideMark/>
          </w:tcPr>
          <w:p w14:paraId="6F0983A3"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Bureau des Relations avec les Citoyens</w:t>
            </w:r>
          </w:p>
        </w:tc>
        <w:tc>
          <w:tcPr>
            <w:tcW w:w="2976" w:type="dxa"/>
            <w:shd w:val="clear" w:color="auto" w:fill="auto"/>
            <w:vAlign w:val="bottom"/>
            <w:hideMark/>
          </w:tcPr>
          <w:p w14:paraId="5B0BFDE6"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Ministère de la santé</w:t>
            </w:r>
          </w:p>
        </w:tc>
      </w:tr>
      <w:tr w:rsidR="001045F9" w:rsidRPr="001045F9" w14:paraId="15B8B9AA" w14:textId="77777777" w:rsidTr="00043D2A">
        <w:trPr>
          <w:trHeight w:val="603"/>
        </w:trPr>
        <w:tc>
          <w:tcPr>
            <w:tcW w:w="1040" w:type="dxa"/>
            <w:shd w:val="clear" w:color="auto" w:fill="auto"/>
            <w:noWrap/>
            <w:vAlign w:val="bottom"/>
            <w:hideMark/>
          </w:tcPr>
          <w:p w14:paraId="1A6E0767"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Mme</w:t>
            </w:r>
          </w:p>
        </w:tc>
        <w:tc>
          <w:tcPr>
            <w:tcW w:w="1932" w:type="dxa"/>
            <w:shd w:val="clear" w:color="auto" w:fill="auto"/>
            <w:vAlign w:val="bottom"/>
            <w:hideMark/>
          </w:tcPr>
          <w:p w14:paraId="0A1EA834"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Meriam Echy</w:t>
            </w:r>
          </w:p>
        </w:tc>
        <w:tc>
          <w:tcPr>
            <w:tcW w:w="3119" w:type="dxa"/>
            <w:shd w:val="clear" w:color="auto" w:fill="auto"/>
            <w:vAlign w:val="bottom"/>
            <w:hideMark/>
          </w:tcPr>
          <w:p w14:paraId="552785B1" w14:textId="77777777" w:rsidR="001045F9" w:rsidRPr="001045F9" w:rsidRDefault="001045F9" w:rsidP="001045F9">
            <w:pPr>
              <w:spacing w:after="0" w:line="240" w:lineRule="auto"/>
              <w:rPr>
                <w:rFonts w:eastAsia="Times New Roman" w:cstheme="minorHAnsi"/>
                <w:sz w:val="24"/>
                <w:szCs w:val="24"/>
                <w:lang w:eastAsia="fr-FR"/>
              </w:rPr>
            </w:pPr>
          </w:p>
        </w:tc>
        <w:tc>
          <w:tcPr>
            <w:tcW w:w="2976" w:type="dxa"/>
            <w:shd w:val="clear" w:color="auto" w:fill="auto"/>
            <w:vAlign w:val="bottom"/>
            <w:hideMark/>
          </w:tcPr>
          <w:p w14:paraId="6840B6FB"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Ministère des affaires locales et de l'environnement</w:t>
            </w:r>
          </w:p>
        </w:tc>
      </w:tr>
      <w:tr w:rsidR="001045F9" w:rsidRPr="001045F9" w14:paraId="221820D0" w14:textId="77777777" w:rsidTr="00043D2A">
        <w:trPr>
          <w:trHeight w:val="603"/>
        </w:trPr>
        <w:tc>
          <w:tcPr>
            <w:tcW w:w="1040" w:type="dxa"/>
            <w:shd w:val="clear" w:color="auto" w:fill="auto"/>
            <w:noWrap/>
            <w:vAlign w:val="bottom"/>
            <w:hideMark/>
          </w:tcPr>
          <w:p w14:paraId="6AB7799C"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Mr</w:t>
            </w:r>
          </w:p>
        </w:tc>
        <w:tc>
          <w:tcPr>
            <w:tcW w:w="1932" w:type="dxa"/>
            <w:shd w:val="clear" w:color="auto" w:fill="auto"/>
            <w:noWrap/>
            <w:vAlign w:val="bottom"/>
            <w:hideMark/>
          </w:tcPr>
          <w:p w14:paraId="1BC1411F" w14:textId="77777777" w:rsidR="001045F9" w:rsidRPr="001045F9" w:rsidRDefault="001045F9" w:rsidP="001045F9">
            <w:pPr>
              <w:spacing w:after="0" w:line="240" w:lineRule="auto"/>
              <w:rPr>
                <w:rFonts w:eastAsia="Arial Unicode MS" w:cstheme="minorHAnsi"/>
                <w:sz w:val="24"/>
                <w:szCs w:val="24"/>
                <w:lang w:eastAsia="fr-FR"/>
              </w:rPr>
            </w:pPr>
            <w:r w:rsidRPr="001045F9">
              <w:rPr>
                <w:rFonts w:eastAsia="Arial Unicode MS" w:cstheme="minorHAnsi"/>
                <w:sz w:val="24"/>
                <w:szCs w:val="24"/>
                <w:lang w:eastAsia="fr-FR"/>
              </w:rPr>
              <w:t>Faker Gannoun</w:t>
            </w:r>
          </w:p>
        </w:tc>
        <w:tc>
          <w:tcPr>
            <w:tcW w:w="3119" w:type="dxa"/>
            <w:shd w:val="clear" w:color="auto" w:fill="auto"/>
            <w:vAlign w:val="bottom"/>
            <w:hideMark/>
          </w:tcPr>
          <w:p w14:paraId="5FEC07DE"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chargé de l'accès à l'information</w:t>
            </w:r>
          </w:p>
        </w:tc>
        <w:tc>
          <w:tcPr>
            <w:tcW w:w="2976" w:type="dxa"/>
            <w:shd w:val="clear" w:color="auto" w:fill="auto"/>
            <w:vAlign w:val="bottom"/>
            <w:hideMark/>
          </w:tcPr>
          <w:p w14:paraId="7CF6C608"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Ministère des affaires locales et de l'environnement</w:t>
            </w:r>
          </w:p>
        </w:tc>
      </w:tr>
      <w:tr w:rsidR="001045F9" w:rsidRPr="001045F9" w14:paraId="2815D78B" w14:textId="77777777" w:rsidTr="00043D2A">
        <w:trPr>
          <w:trHeight w:val="603"/>
        </w:trPr>
        <w:tc>
          <w:tcPr>
            <w:tcW w:w="1040" w:type="dxa"/>
            <w:shd w:val="clear" w:color="auto" w:fill="auto"/>
            <w:noWrap/>
            <w:vAlign w:val="bottom"/>
            <w:hideMark/>
          </w:tcPr>
          <w:p w14:paraId="12AF8170"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Mr</w:t>
            </w:r>
          </w:p>
        </w:tc>
        <w:tc>
          <w:tcPr>
            <w:tcW w:w="1932" w:type="dxa"/>
            <w:shd w:val="clear" w:color="auto" w:fill="auto"/>
            <w:vAlign w:val="bottom"/>
            <w:hideMark/>
          </w:tcPr>
          <w:p w14:paraId="7205702A"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Zied Baleji</w:t>
            </w:r>
          </w:p>
        </w:tc>
        <w:tc>
          <w:tcPr>
            <w:tcW w:w="3119" w:type="dxa"/>
            <w:shd w:val="clear" w:color="auto" w:fill="auto"/>
            <w:vAlign w:val="bottom"/>
            <w:hideMark/>
          </w:tcPr>
          <w:p w14:paraId="55ACEA3A"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Directeur</w:t>
            </w:r>
          </w:p>
        </w:tc>
        <w:tc>
          <w:tcPr>
            <w:tcW w:w="2976" w:type="dxa"/>
            <w:shd w:val="clear" w:color="auto" w:fill="auto"/>
            <w:vAlign w:val="bottom"/>
            <w:hideMark/>
          </w:tcPr>
          <w:p w14:paraId="65A28D5B" w14:textId="77777777" w:rsidR="001045F9" w:rsidRPr="001045F9" w:rsidRDefault="001045F9" w:rsidP="001045F9">
            <w:pPr>
              <w:spacing w:after="0" w:line="240" w:lineRule="auto"/>
              <w:rPr>
                <w:rFonts w:eastAsia="Times New Roman" w:cstheme="minorHAnsi"/>
                <w:sz w:val="24"/>
                <w:szCs w:val="24"/>
                <w:lang w:eastAsia="fr-FR"/>
              </w:rPr>
            </w:pPr>
            <w:r w:rsidRPr="001045F9">
              <w:rPr>
                <w:rFonts w:eastAsia="Times New Roman" w:cstheme="minorHAnsi"/>
                <w:sz w:val="24"/>
                <w:szCs w:val="24"/>
                <w:lang w:eastAsia="fr-FR"/>
              </w:rPr>
              <w:t>Ministère des affaires locales et de l'environnement</w:t>
            </w:r>
          </w:p>
        </w:tc>
      </w:tr>
      <w:tr w:rsidR="001045F9" w:rsidRPr="001045F9" w14:paraId="6EBC7BCB" w14:textId="77777777" w:rsidTr="00043D2A">
        <w:trPr>
          <w:trHeight w:val="904"/>
        </w:trPr>
        <w:tc>
          <w:tcPr>
            <w:tcW w:w="1040" w:type="dxa"/>
            <w:shd w:val="clear" w:color="auto" w:fill="auto"/>
            <w:noWrap/>
            <w:vAlign w:val="bottom"/>
            <w:hideMark/>
          </w:tcPr>
          <w:p w14:paraId="68FAB028" w14:textId="77777777" w:rsidR="001045F9" w:rsidRPr="001045F9" w:rsidRDefault="001045F9"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Mme</w:t>
            </w:r>
          </w:p>
        </w:tc>
        <w:tc>
          <w:tcPr>
            <w:tcW w:w="1932" w:type="dxa"/>
            <w:shd w:val="clear" w:color="auto" w:fill="auto"/>
            <w:vAlign w:val="bottom"/>
            <w:hideMark/>
          </w:tcPr>
          <w:p w14:paraId="7444E55D" w14:textId="77777777" w:rsidR="001045F9" w:rsidRPr="001045F9" w:rsidRDefault="001045F9"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khira Nasri</w:t>
            </w:r>
          </w:p>
        </w:tc>
        <w:tc>
          <w:tcPr>
            <w:tcW w:w="3119" w:type="dxa"/>
            <w:shd w:val="clear" w:color="auto" w:fill="auto"/>
            <w:vAlign w:val="bottom"/>
            <w:hideMark/>
          </w:tcPr>
          <w:p w14:paraId="12202423" w14:textId="77777777" w:rsidR="001045F9" w:rsidRPr="001045F9" w:rsidRDefault="001045F9"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Sous-directeur</w:t>
            </w:r>
          </w:p>
        </w:tc>
        <w:tc>
          <w:tcPr>
            <w:tcW w:w="2976" w:type="dxa"/>
            <w:shd w:val="clear" w:color="auto" w:fill="auto"/>
            <w:vAlign w:val="bottom"/>
            <w:hideMark/>
          </w:tcPr>
          <w:p w14:paraId="76171639" w14:textId="6342F84D" w:rsidR="001045F9" w:rsidRPr="001045F9" w:rsidRDefault="001045F9"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 xml:space="preserve">Ministère du développement, de l'investissement  et de la </w:t>
            </w:r>
            <w:r w:rsidR="00D65E53" w:rsidRPr="001045F9">
              <w:rPr>
                <w:rFonts w:ascii="Calibri" w:eastAsia="Times New Roman" w:hAnsi="Calibri" w:cs="Calibri"/>
                <w:lang w:eastAsia="fr-FR"/>
              </w:rPr>
              <w:t>coopération</w:t>
            </w:r>
            <w:r w:rsidRPr="001045F9">
              <w:rPr>
                <w:rFonts w:ascii="Calibri" w:eastAsia="Times New Roman" w:hAnsi="Calibri" w:cs="Calibri"/>
                <w:lang w:eastAsia="fr-FR"/>
              </w:rPr>
              <w:t xml:space="preserve"> internationale</w:t>
            </w:r>
          </w:p>
        </w:tc>
      </w:tr>
      <w:tr w:rsidR="001045F9" w:rsidRPr="001045F9" w14:paraId="1334644A" w14:textId="77777777" w:rsidTr="00043D2A">
        <w:trPr>
          <w:trHeight w:val="904"/>
        </w:trPr>
        <w:tc>
          <w:tcPr>
            <w:tcW w:w="1040" w:type="dxa"/>
            <w:shd w:val="clear" w:color="auto" w:fill="auto"/>
            <w:noWrap/>
            <w:vAlign w:val="bottom"/>
            <w:hideMark/>
          </w:tcPr>
          <w:p w14:paraId="4FE61AF3" w14:textId="77777777" w:rsidR="001045F9" w:rsidRPr="001045F9" w:rsidRDefault="001045F9"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Mme</w:t>
            </w:r>
          </w:p>
        </w:tc>
        <w:tc>
          <w:tcPr>
            <w:tcW w:w="1932" w:type="dxa"/>
            <w:shd w:val="clear" w:color="auto" w:fill="auto"/>
            <w:vAlign w:val="bottom"/>
            <w:hideMark/>
          </w:tcPr>
          <w:p w14:paraId="49A4AE06" w14:textId="77777777" w:rsidR="001045F9" w:rsidRPr="001045F9" w:rsidRDefault="001045F9"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Henda Boulabiar</w:t>
            </w:r>
          </w:p>
        </w:tc>
        <w:tc>
          <w:tcPr>
            <w:tcW w:w="3119" w:type="dxa"/>
            <w:shd w:val="clear" w:color="auto" w:fill="auto"/>
            <w:vAlign w:val="bottom"/>
            <w:hideMark/>
          </w:tcPr>
          <w:p w14:paraId="4DB4FC89" w14:textId="77777777" w:rsidR="001045F9" w:rsidRPr="001045F9" w:rsidRDefault="001045F9"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Directeur</w:t>
            </w:r>
          </w:p>
        </w:tc>
        <w:tc>
          <w:tcPr>
            <w:tcW w:w="2976" w:type="dxa"/>
            <w:shd w:val="clear" w:color="auto" w:fill="auto"/>
            <w:vAlign w:val="bottom"/>
            <w:hideMark/>
          </w:tcPr>
          <w:p w14:paraId="3349043D" w14:textId="5F1FEADF" w:rsidR="001045F9" w:rsidRPr="001045F9" w:rsidRDefault="001045F9"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 xml:space="preserve">Ministère du développement, de l'investissement  et de la </w:t>
            </w:r>
            <w:r w:rsidR="00D65E53" w:rsidRPr="001045F9">
              <w:rPr>
                <w:rFonts w:ascii="Calibri" w:eastAsia="Times New Roman" w:hAnsi="Calibri" w:cs="Calibri"/>
                <w:lang w:eastAsia="fr-FR"/>
              </w:rPr>
              <w:t>coopération</w:t>
            </w:r>
            <w:r w:rsidRPr="001045F9">
              <w:rPr>
                <w:rFonts w:ascii="Calibri" w:eastAsia="Times New Roman" w:hAnsi="Calibri" w:cs="Calibri"/>
                <w:lang w:eastAsia="fr-FR"/>
              </w:rPr>
              <w:t xml:space="preserve"> internationale</w:t>
            </w:r>
          </w:p>
        </w:tc>
      </w:tr>
      <w:tr w:rsidR="001045F9" w:rsidRPr="001045F9" w14:paraId="6387AB20" w14:textId="77777777" w:rsidTr="00043D2A">
        <w:trPr>
          <w:trHeight w:val="904"/>
        </w:trPr>
        <w:tc>
          <w:tcPr>
            <w:tcW w:w="1040" w:type="dxa"/>
            <w:shd w:val="clear" w:color="auto" w:fill="auto"/>
            <w:noWrap/>
            <w:vAlign w:val="bottom"/>
            <w:hideMark/>
          </w:tcPr>
          <w:p w14:paraId="5BF83356" w14:textId="77777777" w:rsidR="001045F9" w:rsidRPr="001045F9" w:rsidRDefault="001045F9"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Mr</w:t>
            </w:r>
          </w:p>
        </w:tc>
        <w:tc>
          <w:tcPr>
            <w:tcW w:w="1932" w:type="dxa"/>
            <w:shd w:val="clear" w:color="auto" w:fill="auto"/>
            <w:vAlign w:val="bottom"/>
            <w:hideMark/>
          </w:tcPr>
          <w:p w14:paraId="5BD65CE2" w14:textId="5AF17B69" w:rsidR="001045F9" w:rsidRPr="001045F9" w:rsidRDefault="00D65E53" w:rsidP="001045F9">
            <w:pPr>
              <w:spacing w:after="0" w:line="240" w:lineRule="auto"/>
              <w:rPr>
                <w:rFonts w:ascii="Calibri" w:eastAsia="Times New Roman" w:hAnsi="Calibri" w:cs="Calibri"/>
                <w:lang w:eastAsia="fr-FR"/>
              </w:rPr>
            </w:pPr>
            <w:r>
              <w:rPr>
                <w:rFonts w:ascii="Calibri" w:eastAsia="Times New Roman" w:hAnsi="Calibri" w:cs="Calibri"/>
                <w:lang w:eastAsia="fr-FR"/>
              </w:rPr>
              <w:t>Ahmed S</w:t>
            </w:r>
            <w:r w:rsidR="001045F9" w:rsidRPr="001045F9">
              <w:rPr>
                <w:rFonts w:ascii="Calibri" w:eastAsia="Times New Roman" w:hAnsi="Calibri" w:cs="Calibri"/>
                <w:lang w:eastAsia="fr-FR"/>
              </w:rPr>
              <w:t>haiech</w:t>
            </w:r>
          </w:p>
        </w:tc>
        <w:tc>
          <w:tcPr>
            <w:tcW w:w="3119" w:type="dxa"/>
            <w:shd w:val="clear" w:color="auto" w:fill="auto"/>
            <w:vAlign w:val="bottom"/>
            <w:hideMark/>
          </w:tcPr>
          <w:p w14:paraId="49B6207E" w14:textId="77777777" w:rsidR="001045F9" w:rsidRPr="001045F9" w:rsidRDefault="001045F9"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Sous-directeur</w:t>
            </w:r>
          </w:p>
        </w:tc>
        <w:tc>
          <w:tcPr>
            <w:tcW w:w="2976" w:type="dxa"/>
            <w:shd w:val="clear" w:color="auto" w:fill="auto"/>
            <w:vAlign w:val="bottom"/>
            <w:hideMark/>
          </w:tcPr>
          <w:p w14:paraId="6B096C2B" w14:textId="51FB1EFC" w:rsidR="001045F9" w:rsidRPr="001045F9" w:rsidRDefault="001045F9"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 xml:space="preserve">Ministère du développement, de l'investissement  et de la </w:t>
            </w:r>
            <w:r w:rsidR="00D65E53" w:rsidRPr="001045F9">
              <w:rPr>
                <w:rFonts w:ascii="Calibri" w:eastAsia="Times New Roman" w:hAnsi="Calibri" w:cs="Calibri"/>
                <w:lang w:eastAsia="fr-FR"/>
              </w:rPr>
              <w:t>coopération</w:t>
            </w:r>
            <w:r w:rsidRPr="001045F9">
              <w:rPr>
                <w:rFonts w:ascii="Calibri" w:eastAsia="Times New Roman" w:hAnsi="Calibri" w:cs="Calibri"/>
                <w:lang w:eastAsia="fr-FR"/>
              </w:rPr>
              <w:t xml:space="preserve"> internationale</w:t>
            </w:r>
          </w:p>
        </w:tc>
      </w:tr>
      <w:tr w:rsidR="001045F9" w:rsidRPr="001045F9" w14:paraId="364B23F4" w14:textId="77777777" w:rsidTr="00043D2A">
        <w:trPr>
          <w:trHeight w:val="904"/>
        </w:trPr>
        <w:tc>
          <w:tcPr>
            <w:tcW w:w="1040" w:type="dxa"/>
            <w:shd w:val="clear" w:color="auto" w:fill="auto"/>
            <w:noWrap/>
            <w:vAlign w:val="bottom"/>
            <w:hideMark/>
          </w:tcPr>
          <w:p w14:paraId="66BCCE0E" w14:textId="77777777" w:rsidR="001045F9" w:rsidRPr="001045F9" w:rsidRDefault="001045F9"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 xml:space="preserve">Mr </w:t>
            </w:r>
          </w:p>
        </w:tc>
        <w:tc>
          <w:tcPr>
            <w:tcW w:w="1932" w:type="dxa"/>
            <w:shd w:val="clear" w:color="auto" w:fill="auto"/>
            <w:vAlign w:val="bottom"/>
            <w:hideMark/>
          </w:tcPr>
          <w:p w14:paraId="7439CA59" w14:textId="77777777" w:rsidR="001045F9" w:rsidRPr="001045F9" w:rsidRDefault="001045F9"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Dhaouadi Mohsen</w:t>
            </w:r>
          </w:p>
        </w:tc>
        <w:tc>
          <w:tcPr>
            <w:tcW w:w="3119" w:type="dxa"/>
            <w:shd w:val="clear" w:color="auto" w:fill="auto"/>
            <w:vAlign w:val="bottom"/>
            <w:hideMark/>
          </w:tcPr>
          <w:p w14:paraId="68149B4F" w14:textId="750FE204" w:rsidR="001045F9" w:rsidRPr="001045F9" w:rsidRDefault="001045F9"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chef de la structure de la gouvernance/chargé</w:t>
            </w:r>
            <w:r w:rsidR="00D65E53">
              <w:rPr>
                <w:rFonts w:ascii="Calibri" w:eastAsia="Times New Roman" w:hAnsi="Calibri" w:cs="Calibri"/>
                <w:lang w:eastAsia="fr-FR"/>
              </w:rPr>
              <w:t xml:space="preserve"> </w:t>
            </w:r>
            <w:r w:rsidRPr="001045F9">
              <w:rPr>
                <w:rFonts w:ascii="Calibri" w:eastAsia="Times New Roman" w:hAnsi="Calibri" w:cs="Calibri"/>
                <w:lang w:eastAsia="fr-FR"/>
              </w:rPr>
              <w:t>de l'accès à l'information</w:t>
            </w:r>
          </w:p>
        </w:tc>
        <w:tc>
          <w:tcPr>
            <w:tcW w:w="2976" w:type="dxa"/>
            <w:shd w:val="clear" w:color="auto" w:fill="auto"/>
            <w:vAlign w:val="bottom"/>
            <w:hideMark/>
          </w:tcPr>
          <w:p w14:paraId="799723F3" w14:textId="6D05C649" w:rsidR="001045F9" w:rsidRPr="001045F9" w:rsidRDefault="001045F9"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 xml:space="preserve">Ministère du développement, de l'investissement  et de la </w:t>
            </w:r>
            <w:r w:rsidR="00D65E53" w:rsidRPr="001045F9">
              <w:rPr>
                <w:rFonts w:ascii="Calibri" w:eastAsia="Times New Roman" w:hAnsi="Calibri" w:cs="Calibri"/>
                <w:lang w:eastAsia="fr-FR"/>
              </w:rPr>
              <w:t>coopération</w:t>
            </w:r>
            <w:r w:rsidRPr="001045F9">
              <w:rPr>
                <w:rFonts w:ascii="Calibri" w:eastAsia="Times New Roman" w:hAnsi="Calibri" w:cs="Calibri"/>
                <w:lang w:eastAsia="fr-FR"/>
              </w:rPr>
              <w:t xml:space="preserve"> internationale</w:t>
            </w:r>
          </w:p>
        </w:tc>
      </w:tr>
      <w:tr w:rsidR="001045F9" w:rsidRPr="001045F9" w14:paraId="7BD5BB91" w14:textId="77777777" w:rsidTr="00043D2A">
        <w:trPr>
          <w:trHeight w:val="301"/>
        </w:trPr>
        <w:tc>
          <w:tcPr>
            <w:tcW w:w="1040" w:type="dxa"/>
            <w:shd w:val="clear" w:color="auto" w:fill="auto"/>
            <w:noWrap/>
            <w:vAlign w:val="bottom"/>
            <w:hideMark/>
          </w:tcPr>
          <w:p w14:paraId="7BAF1916" w14:textId="77777777" w:rsidR="001045F9" w:rsidRPr="001045F9" w:rsidRDefault="001045F9"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Mr</w:t>
            </w:r>
          </w:p>
        </w:tc>
        <w:tc>
          <w:tcPr>
            <w:tcW w:w="1932" w:type="dxa"/>
            <w:shd w:val="clear" w:color="auto" w:fill="auto"/>
            <w:noWrap/>
            <w:vAlign w:val="bottom"/>
            <w:hideMark/>
          </w:tcPr>
          <w:p w14:paraId="07624BD8" w14:textId="77777777" w:rsidR="001045F9" w:rsidRPr="001045F9" w:rsidRDefault="001045F9" w:rsidP="001045F9">
            <w:pPr>
              <w:spacing w:after="0" w:line="240" w:lineRule="auto"/>
              <w:rPr>
                <w:rFonts w:ascii="Arial" w:eastAsia="Times New Roman" w:hAnsi="Arial" w:cs="Arial"/>
                <w:sz w:val="20"/>
                <w:szCs w:val="20"/>
                <w:lang w:eastAsia="fr-FR"/>
              </w:rPr>
            </w:pPr>
            <w:r w:rsidRPr="001045F9">
              <w:rPr>
                <w:rFonts w:ascii="Arial" w:eastAsia="Times New Roman" w:hAnsi="Arial" w:cs="Arial"/>
                <w:sz w:val="20"/>
                <w:szCs w:val="20"/>
                <w:lang w:eastAsia="fr-FR"/>
              </w:rPr>
              <w:t>Majed Khalfallah</w:t>
            </w:r>
          </w:p>
        </w:tc>
        <w:tc>
          <w:tcPr>
            <w:tcW w:w="3119" w:type="dxa"/>
            <w:shd w:val="clear" w:color="auto" w:fill="auto"/>
            <w:vAlign w:val="bottom"/>
            <w:hideMark/>
          </w:tcPr>
          <w:p w14:paraId="610451D8" w14:textId="77777777" w:rsidR="001045F9" w:rsidRPr="001045F9" w:rsidRDefault="001045F9"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Directeur</w:t>
            </w:r>
          </w:p>
        </w:tc>
        <w:tc>
          <w:tcPr>
            <w:tcW w:w="2976" w:type="dxa"/>
            <w:shd w:val="clear" w:color="auto" w:fill="auto"/>
            <w:vAlign w:val="bottom"/>
            <w:hideMark/>
          </w:tcPr>
          <w:p w14:paraId="7DC4A408" w14:textId="77777777" w:rsidR="001045F9" w:rsidRPr="001045F9" w:rsidRDefault="001045F9"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SONEDE</w:t>
            </w:r>
          </w:p>
        </w:tc>
      </w:tr>
      <w:tr w:rsidR="001045F9" w:rsidRPr="001045F9" w14:paraId="6DEEC1E7" w14:textId="77777777" w:rsidTr="00043D2A">
        <w:trPr>
          <w:trHeight w:val="301"/>
        </w:trPr>
        <w:tc>
          <w:tcPr>
            <w:tcW w:w="1040" w:type="dxa"/>
            <w:shd w:val="clear" w:color="auto" w:fill="auto"/>
            <w:noWrap/>
            <w:vAlign w:val="bottom"/>
            <w:hideMark/>
          </w:tcPr>
          <w:p w14:paraId="5189A2D6" w14:textId="77777777" w:rsidR="001045F9" w:rsidRPr="001045F9" w:rsidRDefault="001045F9"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Mme</w:t>
            </w:r>
          </w:p>
        </w:tc>
        <w:tc>
          <w:tcPr>
            <w:tcW w:w="1932" w:type="dxa"/>
            <w:shd w:val="clear" w:color="auto" w:fill="auto"/>
            <w:vAlign w:val="bottom"/>
            <w:hideMark/>
          </w:tcPr>
          <w:p w14:paraId="2838BAA5" w14:textId="77777777" w:rsidR="001045F9" w:rsidRPr="001045F9" w:rsidRDefault="001045F9"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Sihem Mansouri</w:t>
            </w:r>
          </w:p>
        </w:tc>
        <w:tc>
          <w:tcPr>
            <w:tcW w:w="3119" w:type="dxa"/>
            <w:shd w:val="clear" w:color="auto" w:fill="auto"/>
            <w:vAlign w:val="bottom"/>
            <w:hideMark/>
          </w:tcPr>
          <w:p w14:paraId="235D09AF" w14:textId="77777777" w:rsidR="001045F9" w:rsidRPr="001045F9" w:rsidRDefault="001045F9"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Directrice informatique</w:t>
            </w:r>
          </w:p>
        </w:tc>
        <w:tc>
          <w:tcPr>
            <w:tcW w:w="2976" w:type="dxa"/>
            <w:shd w:val="clear" w:color="auto" w:fill="auto"/>
            <w:vAlign w:val="bottom"/>
            <w:hideMark/>
          </w:tcPr>
          <w:p w14:paraId="43494BD3" w14:textId="77777777" w:rsidR="001045F9" w:rsidRPr="001045F9" w:rsidRDefault="001045F9"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SONEDE</w:t>
            </w:r>
          </w:p>
        </w:tc>
      </w:tr>
      <w:tr w:rsidR="001045F9" w:rsidRPr="001045F9" w14:paraId="4849E16A" w14:textId="77777777" w:rsidTr="00043D2A">
        <w:trPr>
          <w:trHeight w:val="301"/>
        </w:trPr>
        <w:tc>
          <w:tcPr>
            <w:tcW w:w="1040" w:type="dxa"/>
            <w:shd w:val="clear" w:color="auto" w:fill="auto"/>
            <w:noWrap/>
            <w:vAlign w:val="bottom"/>
            <w:hideMark/>
          </w:tcPr>
          <w:p w14:paraId="67148451" w14:textId="77777777" w:rsidR="001045F9" w:rsidRPr="001045F9" w:rsidRDefault="001045F9"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 xml:space="preserve">Mme </w:t>
            </w:r>
          </w:p>
        </w:tc>
        <w:tc>
          <w:tcPr>
            <w:tcW w:w="1932" w:type="dxa"/>
            <w:shd w:val="clear" w:color="auto" w:fill="auto"/>
            <w:vAlign w:val="bottom"/>
            <w:hideMark/>
          </w:tcPr>
          <w:p w14:paraId="19250EA4" w14:textId="77777777" w:rsidR="001045F9" w:rsidRPr="001045F9" w:rsidRDefault="001045F9"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Olfa Souli</w:t>
            </w:r>
          </w:p>
        </w:tc>
        <w:tc>
          <w:tcPr>
            <w:tcW w:w="3119" w:type="dxa"/>
            <w:shd w:val="clear" w:color="auto" w:fill="auto"/>
            <w:vAlign w:val="bottom"/>
            <w:hideMark/>
          </w:tcPr>
          <w:p w14:paraId="3DAF5CAE" w14:textId="442BA918" w:rsidR="001045F9" w:rsidRPr="001045F9" w:rsidRDefault="001045F9"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 xml:space="preserve">Directeur </w:t>
            </w:r>
            <w:r w:rsidR="00D65E53" w:rsidRPr="001045F9">
              <w:rPr>
                <w:rFonts w:ascii="Calibri" w:eastAsia="Times New Roman" w:hAnsi="Calibri" w:cs="Calibri"/>
                <w:lang w:eastAsia="fr-FR"/>
              </w:rPr>
              <w:t>général</w:t>
            </w:r>
          </w:p>
        </w:tc>
        <w:tc>
          <w:tcPr>
            <w:tcW w:w="2976" w:type="dxa"/>
            <w:shd w:val="clear" w:color="auto" w:fill="auto"/>
            <w:vAlign w:val="bottom"/>
            <w:hideMark/>
          </w:tcPr>
          <w:p w14:paraId="0B835468" w14:textId="77777777" w:rsidR="001045F9" w:rsidRPr="001045F9" w:rsidRDefault="001045F9"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DGRPA</w:t>
            </w:r>
          </w:p>
        </w:tc>
      </w:tr>
      <w:tr w:rsidR="001045F9" w:rsidRPr="001045F9" w14:paraId="54BBC0F0" w14:textId="77777777" w:rsidTr="00043D2A">
        <w:trPr>
          <w:trHeight w:val="301"/>
        </w:trPr>
        <w:tc>
          <w:tcPr>
            <w:tcW w:w="1040" w:type="dxa"/>
            <w:shd w:val="clear" w:color="auto" w:fill="auto"/>
            <w:noWrap/>
            <w:vAlign w:val="bottom"/>
            <w:hideMark/>
          </w:tcPr>
          <w:p w14:paraId="55596BDC" w14:textId="77777777" w:rsidR="001045F9" w:rsidRPr="001045F9" w:rsidRDefault="001045F9"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Mme</w:t>
            </w:r>
          </w:p>
        </w:tc>
        <w:tc>
          <w:tcPr>
            <w:tcW w:w="1932" w:type="dxa"/>
            <w:shd w:val="clear" w:color="auto" w:fill="auto"/>
            <w:vAlign w:val="bottom"/>
            <w:hideMark/>
          </w:tcPr>
          <w:p w14:paraId="628BB448" w14:textId="77777777" w:rsidR="001045F9" w:rsidRPr="001045F9" w:rsidRDefault="001045F9"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Haifa Mahjoub</w:t>
            </w:r>
          </w:p>
        </w:tc>
        <w:tc>
          <w:tcPr>
            <w:tcW w:w="3119" w:type="dxa"/>
            <w:shd w:val="clear" w:color="auto" w:fill="auto"/>
            <w:vAlign w:val="bottom"/>
            <w:hideMark/>
          </w:tcPr>
          <w:p w14:paraId="2490146F" w14:textId="311869D0" w:rsidR="001045F9" w:rsidRPr="001045F9" w:rsidRDefault="00D65E53"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Sous-directeur</w:t>
            </w:r>
          </w:p>
        </w:tc>
        <w:tc>
          <w:tcPr>
            <w:tcW w:w="2976" w:type="dxa"/>
            <w:shd w:val="clear" w:color="auto" w:fill="auto"/>
            <w:vAlign w:val="bottom"/>
            <w:hideMark/>
          </w:tcPr>
          <w:p w14:paraId="466CBDD7" w14:textId="77777777" w:rsidR="001045F9" w:rsidRPr="001045F9" w:rsidRDefault="001045F9"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DGRPA</w:t>
            </w:r>
          </w:p>
        </w:tc>
      </w:tr>
      <w:tr w:rsidR="001045F9" w:rsidRPr="001045F9" w14:paraId="4EE2A78F" w14:textId="77777777" w:rsidTr="00043D2A">
        <w:trPr>
          <w:trHeight w:val="301"/>
        </w:trPr>
        <w:tc>
          <w:tcPr>
            <w:tcW w:w="1040" w:type="dxa"/>
            <w:shd w:val="clear" w:color="auto" w:fill="auto"/>
            <w:noWrap/>
            <w:vAlign w:val="bottom"/>
            <w:hideMark/>
          </w:tcPr>
          <w:p w14:paraId="41E59D3D" w14:textId="77777777" w:rsidR="001045F9" w:rsidRPr="001045F9" w:rsidRDefault="001045F9"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Mme</w:t>
            </w:r>
          </w:p>
        </w:tc>
        <w:tc>
          <w:tcPr>
            <w:tcW w:w="1932" w:type="dxa"/>
            <w:shd w:val="clear" w:color="auto" w:fill="auto"/>
            <w:vAlign w:val="bottom"/>
            <w:hideMark/>
          </w:tcPr>
          <w:p w14:paraId="20CE1623" w14:textId="77777777" w:rsidR="001045F9" w:rsidRPr="001045F9" w:rsidRDefault="001045F9"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Safa Hadj Fraj</w:t>
            </w:r>
          </w:p>
        </w:tc>
        <w:tc>
          <w:tcPr>
            <w:tcW w:w="3119" w:type="dxa"/>
            <w:shd w:val="clear" w:color="auto" w:fill="auto"/>
            <w:vAlign w:val="bottom"/>
            <w:hideMark/>
          </w:tcPr>
          <w:p w14:paraId="1D34028D" w14:textId="7B31D5CC" w:rsidR="001045F9" w:rsidRPr="001045F9" w:rsidRDefault="00D65E53"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Sous-directeur</w:t>
            </w:r>
          </w:p>
        </w:tc>
        <w:tc>
          <w:tcPr>
            <w:tcW w:w="2976" w:type="dxa"/>
            <w:shd w:val="clear" w:color="auto" w:fill="auto"/>
            <w:vAlign w:val="bottom"/>
            <w:hideMark/>
          </w:tcPr>
          <w:p w14:paraId="6F5299C9" w14:textId="77777777" w:rsidR="001045F9" w:rsidRPr="001045F9" w:rsidRDefault="001045F9"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DGRPA</w:t>
            </w:r>
          </w:p>
        </w:tc>
      </w:tr>
      <w:tr w:rsidR="001045F9" w:rsidRPr="001045F9" w14:paraId="1B170D32" w14:textId="77777777" w:rsidTr="00043D2A">
        <w:trPr>
          <w:trHeight w:val="301"/>
        </w:trPr>
        <w:tc>
          <w:tcPr>
            <w:tcW w:w="1040" w:type="dxa"/>
            <w:shd w:val="clear" w:color="auto" w:fill="auto"/>
            <w:noWrap/>
            <w:vAlign w:val="bottom"/>
            <w:hideMark/>
          </w:tcPr>
          <w:p w14:paraId="6842F662" w14:textId="77777777" w:rsidR="001045F9" w:rsidRPr="001045F9" w:rsidRDefault="001045F9"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Mr</w:t>
            </w:r>
          </w:p>
        </w:tc>
        <w:tc>
          <w:tcPr>
            <w:tcW w:w="1932" w:type="dxa"/>
            <w:shd w:val="clear" w:color="auto" w:fill="auto"/>
            <w:vAlign w:val="bottom"/>
            <w:hideMark/>
          </w:tcPr>
          <w:p w14:paraId="6BF2FAD8" w14:textId="77777777" w:rsidR="001045F9" w:rsidRPr="001045F9" w:rsidRDefault="001045F9"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Walid Zidi</w:t>
            </w:r>
          </w:p>
        </w:tc>
        <w:tc>
          <w:tcPr>
            <w:tcW w:w="3119" w:type="dxa"/>
            <w:shd w:val="clear" w:color="auto" w:fill="auto"/>
            <w:vAlign w:val="bottom"/>
            <w:hideMark/>
          </w:tcPr>
          <w:p w14:paraId="638E2A3A" w14:textId="77777777" w:rsidR="001045F9" w:rsidRPr="001045F9" w:rsidRDefault="001045F9"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Chef de service</w:t>
            </w:r>
          </w:p>
        </w:tc>
        <w:tc>
          <w:tcPr>
            <w:tcW w:w="2976" w:type="dxa"/>
            <w:shd w:val="clear" w:color="auto" w:fill="auto"/>
            <w:vAlign w:val="bottom"/>
            <w:hideMark/>
          </w:tcPr>
          <w:p w14:paraId="5FF6D35A" w14:textId="77777777" w:rsidR="001045F9" w:rsidRPr="001045F9" w:rsidRDefault="001045F9"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DGRPA</w:t>
            </w:r>
          </w:p>
        </w:tc>
      </w:tr>
      <w:tr w:rsidR="00D65E53" w:rsidRPr="001045F9" w14:paraId="350B3EBE" w14:textId="77777777" w:rsidTr="00043D2A">
        <w:trPr>
          <w:trHeight w:val="603"/>
        </w:trPr>
        <w:tc>
          <w:tcPr>
            <w:tcW w:w="1040" w:type="dxa"/>
            <w:shd w:val="clear" w:color="auto" w:fill="auto"/>
            <w:noWrap/>
            <w:vAlign w:val="bottom"/>
            <w:hideMark/>
          </w:tcPr>
          <w:p w14:paraId="75D0876F" w14:textId="299E7815" w:rsidR="00D65E53" w:rsidRPr="001045F9" w:rsidRDefault="00D65E53"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 xml:space="preserve">Mme </w:t>
            </w:r>
          </w:p>
        </w:tc>
        <w:tc>
          <w:tcPr>
            <w:tcW w:w="1932" w:type="dxa"/>
            <w:shd w:val="clear" w:color="auto" w:fill="auto"/>
            <w:vAlign w:val="bottom"/>
          </w:tcPr>
          <w:p w14:paraId="5E620769" w14:textId="0F356D93" w:rsidR="00D65E53" w:rsidRPr="001045F9" w:rsidRDefault="00D65E53"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Samira Ben H</w:t>
            </w:r>
            <w:r>
              <w:rPr>
                <w:rFonts w:ascii="Calibri" w:eastAsia="Times New Roman" w:hAnsi="Calibri" w:cs="Calibri"/>
                <w:lang w:eastAsia="fr-FR"/>
              </w:rPr>
              <w:t>a</w:t>
            </w:r>
            <w:r w:rsidRPr="001045F9">
              <w:rPr>
                <w:rFonts w:ascii="Calibri" w:eastAsia="Times New Roman" w:hAnsi="Calibri" w:cs="Calibri"/>
                <w:lang w:eastAsia="fr-FR"/>
              </w:rPr>
              <w:t>ssin</w:t>
            </w:r>
          </w:p>
        </w:tc>
        <w:tc>
          <w:tcPr>
            <w:tcW w:w="3119" w:type="dxa"/>
            <w:shd w:val="clear" w:color="auto" w:fill="auto"/>
            <w:vAlign w:val="bottom"/>
            <w:hideMark/>
          </w:tcPr>
          <w:p w14:paraId="71C33596" w14:textId="77777777" w:rsidR="00D65E53" w:rsidRPr="001045F9" w:rsidRDefault="00D65E53"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Directeur DOMI</w:t>
            </w:r>
          </w:p>
        </w:tc>
        <w:tc>
          <w:tcPr>
            <w:tcW w:w="2976" w:type="dxa"/>
            <w:shd w:val="clear" w:color="auto" w:fill="auto"/>
            <w:vAlign w:val="bottom"/>
            <w:hideMark/>
          </w:tcPr>
          <w:p w14:paraId="68EBB1A7" w14:textId="77777777" w:rsidR="00D65E53" w:rsidRPr="001045F9" w:rsidRDefault="00D65E53"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Ministère de la femme, de la famille et de l'enfance</w:t>
            </w:r>
          </w:p>
        </w:tc>
      </w:tr>
      <w:tr w:rsidR="001045F9" w:rsidRPr="001045F9" w14:paraId="2A5CAAD7" w14:textId="77777777" w:rsidTr="00043D2A">
        <w:trPr>
          <w:trHeight w:val="603"/>
        </w:trPr>
        <w:tc>
          <w:tcPr>
            <w:tcW w:w="1040" w:type="dxa"/>
            <w:shd w:val="clear" w:color="auto" w:fill="auto"/>
            <w:noWrap/>
            <w:vAlign w:val="bottom"/>
            <w:hideMark/>
          </w:tcPr>
          <w:p w14:paraId="0B72C828" w14:textId="77777777" w:rsidR="001045F9" w:rsidRPr="001045F9" w:rsidRDefault="001045F9"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Mr</w:t>
            </w:r>
          </w:p>
        </w:tc>
        <w:tc>
          <w:tcPr>
            <w:tcW w:w="1932" w:type="dxa"/>
            <w:shd w:val="clear" w:color="auto" w:fill="auto"/>
            <w:vAlign w:val="bottom"/>
            <w:hideMark/>
          </w:tcPr>
          <w:p w14:paraId="4D7564CC" w14:textId="77777777" w:rsidR="001045F9" w:rsidRPr="001045F9" w:rsidRDefault="001045F9"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Mohamed Raouf Zair</w:t>
            </w:r>
          </w:p>
        </w:tc>
        <w:tc>
          <w:tcPr>
            <w:tcW w:w="3119" w:type="dxa"/>
            <w:shd w:val="clear" w:color="auto" w:fill="auto"/>
            <w:vAlign w:val="bottom"/>
            <w:hideMark/>
          </w:tcPr>
          <w:p w14:paraId="2BA8BDC7" w14:textId="77777777" w:rsidR="001045F9" w:rsidRPr="001045F9" w:rsidRDefault="001045F9"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DOMI</w:t>
            </w:r>
          </w:p>
        </w:tc>
        <w:tc>
          <w:tcPr>
            <w:tcW w:w="2976" w:type="dxa"/>
            <w:shd w:val="clear" w:color="auto" w:fill="auto"/>
            <w:vAlign w:val="bottom"/>
            <w:hideMark/>
          </w:tcPr>
          <w:p w14:paraId="038542B4" w14:textId="77777777" w:rsidR="001045F9" w:rsidRPr="001045F9" w:rsidRDefault="001045F9"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Ministère de la femme, de la famille et de l'enfance</w:t>
            </w:r>
          </w:p>
        </w:tc>
      </w:tr>
      <w:tr w:rsidR="001045F9" w:rsidRPr="001045F9" w14:paraId="65BD5291" w14:textId="77777777" w:rsidTr="00043D2A">
        <w:trPr>
          <w:trHeight w:val="603"/>
        </w:trPr>
        <w:tc>
          <w:tcPr>
            <w:tcW w:w="1040" w:type="dxa"/>
            <w:shd w:val="clear" w:color="auto" w:fill="auto"/>
            <w:noWrap/>
            <w:vAlign w:val="bottom"/>
            <w:hideMark/>
          </w:tcPr>
          <w:p w14:paraId="4012BD77" w14:textId="77777777" w:rsidR="001045F9" w:rsidRPr="001045F9" w:rsidRDefault="001045F9"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Mr</w:t>
            </w:r>
          </w:p>
        </w:tc>
        <w:tc>
          <w:tcPr>
            <w:tcW w:w="1932" w:type="dxa"/>
            <w:shd w:val="clear" w:color="auto" w:fill="auto"/>
            <w:vAlign w:val="bottom"/>
            <w:hideMark/>
          </w:tcPr>
          <w:p w14:paraId="29FB6363" w14:textId="77777777" w:rsidR="001045F9" w:rsidRPr="001045F9" w:rsidRDefault="001045F9"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Nour eddine Baloumi</w:t>
            </w:r>
          </w:p>
        </w:tc>
        <w:tc>
          <w:tcPr>
            <w:tcW w:w="3119" w:type="dxa"/>
            <w:shd w:val="clear" w:color="auto" w:fill="auto"/>
            <w:vAlign w:val="bottom"/>
            <w:hideMark/>
          </w:tcPr>
          <w:p w14:paraId="2C2088AF" w14:textId="77777777" w:rsidR="001045F9" w:rsidRPr="001045F9" w:rsidRDefault="001045F9"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Direction des Archives</w:t>
            </w:r>
          </w:p>
        </w:tc>
        <w:tc>
          <w:tcPr>
            <w:tcW w:w="2976" w:type="dxa"/>
            <w:shd w:val="clear" w:color="auto" w:fill="auto"/>
            <w:vAlign w:val="bottom"/>
            <w:hideMark/>
          </w:tcPr>
          <w:p w14:paraId="7728727E" w14:textId="77777777" w:rsidR="001045F9" w:rsidRPr="001045F9" w:rsidRDefault="001045F9"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Ministère de la femme, de la famille et de l'enfance</w:t>
            </w:r>
          </w:p>
        </w:tc>
      </w:tr>
      <w:tr w:rsidR="001045F9" w:rsidRPr="001045F9" w14:paraId="191D9A76" w14:textId="77777777" w:rsidTr="00043D2A">
        <w:trPr>
          <w:trHeight w:val="603"/>
        </w:trPr>
        <w:tc>
          <w:tcPr>
            <w:tcW w:w="1040" w:type="dxa"/>
            <w:shd w:val="clear" w:color="auto" w:fill="auto"/>
            <w:noWrap/>
            <w:vAlign w:val="bottom"/>
            <w:hideMark/>
          </w:tcPr>
          <w:p w14:paraId="2B157C30" w14:textId="77777777" w:rsidR="001045F9" w:rsidRPr="001045F9" w:rsidRDefault="001045F9"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Mme</w:t>
            </w:r>
          </w:p>
        </w:tc>
        <w:tc>
          <w:tcPr>
            <w:tcW w:w="1932" w:type="dxa"/>
            <w:shd w:val="clear" w:color="auto" w:fill="auto"/>
            <w:vAlign w:val="bottom"/>
            <w:hideMark/>
          </w:tcPr>
          <w:p w14:paraId="724A0C69" w14:textId="77777777" w:rsidR="001045F9" w:rsidRPr="001045F9" w:rsidRDefault="001045F9"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Ines Chaib</w:t>
            </w:r>
          </w:p>
        </w:tc>
        <w:tc>
          <w:tcPr>
            <w:tcW w:w="3119" w:type="dxa"/>
            <w:shd w:val="clear" w:color="auto" w:fill="auto"/>
            <w:vAlign w:val="bottom"/>
            <w:hideMark/>
          </w:tcPr>
          <w:p w14:paraId="1DCB0338" w14:textId="77777777" w:rsidR="001045F9" w:rsidRPr="001045F9" w:rsidRDefault="001045F9"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 xml:space="preserve">Bureau de la cooperation internationale </w:t>
            </w:r>
          </w:p>
        </w:tc>
        <w:tc>
          <w:tcPr>
            <w:tcW w:w="2976" w:type="dxa"/>
            <w:shd w:val="clear" w:color="auto" w:fill="auto"/>
            <w:vAlign w:val="bottom"/>
            <w:hideMark/>
          </w:tcPr>
          <w:p w14:paraId="1047448D" w14:textId="77777777" w:rsidR="001045F9" w:rsidRPr="001045F9" w:rsidRDefault="001045F9"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Ministère de la femme, de la famille et de l'enfance</w:t>
            </w:r>
          </w:p>
        </w:tc>
      </w:tr>
      <w:tr w:rsidR="001045F9" w:rsidRPr="001045F9" w14:paraId="316FC76B" w14:textId="77777777" w:rsidTr="00043D2A">
        <w:trPr>
          <w:trHeight w:val="603"/>
        </w:trPr>
        <w:tc>
          <w:tcPr>
            <w:tcW w:w="1040" w:type="dxa"/>
            <w:shd w:val="clear" w:color="auto" w:fill="auto"/>
            <w:noWrap/>
            <w:vAlign w:val="bottom"/>
            <w:hideMark/>
          </w:tcPr>
          <w:p w14:paraId="1FBB4E0D" w14:textId="77777777" w:rsidR="001045F9" w:rsidRPr="001045F9" w:rsidRDefault="001045F9"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Mme</w:t>
            </w:r>
          </w:p>
        </w:tc>
        <w:tc>
          <w:tcPr>
            <w:tcW w:w="1932" w:type="dxa"/>
            <w:shd w:val="clear" w:color="auto" w:fill="auto"/>
            <w:vAlign w:val="bottom"/>
            <w:hideMark/>
          </w:tcPr>
          <w:p w14:paraId="6FAE1080" w14:textId="77777777" w:rsidR="001045F9" w:rsidRPr="001045F9" w:rsidRDefault="001045F9"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Bahja Chaabani</w:t>
            </w:r>
          </w:p>
        </w:tc>
        <w:tc>
          <w:tcPr>
            <w:tcW w:w="3119" w:type="dxa"/>
            <w:shd w:val="clear" w:color="auto" w:fill="auto"/>
            <w:vAlign w:val="bottom"/>
            <w:hideMark/>
          </w:tcPr>
          <w:p w14:paraId="03BBFF28" w14:textId="77777777" w:rsidR="001045F9" w:rsidRPr="001045F9" w:rsidRDefault="001045F9"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Direction de la femme</w:t>
            </w:r>
          </w:p>
        </w:tc>
        <w:tc>
          <w:tcPr>
            <w:tcW w:w="2976" w:type="dxa"/>
            <w:shd w:val="clear" w:color="auto" w:fill="auto"/>
            <w:vAlign w:val="bottom"/>
            <w:hideMark/>
          </w:tcPr>
          <w:p w14:paraId="5E38505C" w14:textId="77777777" w:rsidR="001045F9" w:rsidRPr="001045F9" w:rsidRDefault="001045F9"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Ministère de la femme, de la famille et de l'enfance</w:t>
            </w:r>
          </w:p>
        </w:tc>
      </w:tr>
      <w:tr w:rsidR="001045F9" w:rsidRPr="001045F9" w14:paraId="17686BDE" w14:textId="77777777" w:rsidTr="00043D2A">
        <w:trPr>
          <w:trHeight w:val="603"/>
        </w:trPr>
        <w:tc>
          <w:tcPr>
            <w:tcW w:w="1040" w:type="dxa"/>
            <w:shd w:val="clear" w:color="auto" w:fill="auto"/>
            <w:noWrap/>
            <w:vAlign w:val="bottom"/>
            <w:hideMark/>
          </w:tcPr>
          <w:p w14:paraId="2842203A" w14:textId="77777777" w:rsidR="001045F9" w:rsidRPr="001045F9" w:rsidRDefault="001045F9"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Mme</w:t>
            </w:r>
          </w:p>
        </w:tc>
        <w:tc>
          <w:tcPr>
            <w:tcW w:w="1932" w:type="dxa"/>
            <w:shd w:val="clear" w:color="auto" w:fill="auto"/>
            <w:vAlign w:val="bottom"/>
            <w:hideMark/>
          </w:tcPr>
          <w:p w14:paraId="0BDB0812" w14:textId="77777777" w:rsidR="001045F9" w:rsidRPr="001045F9" w:rsidRDefault="001045F9"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Monia Boulaba</w:t>
            </w:r>
          </w:p>
        </w:tc>
        <w:tc>
          <w:tcPr>
            <w:tcW w:w="3119" w:type="dxa"/>
            <w:shd w:val="clear" w:color="auto" w:fill="auto"/>
            <w:vAlign w:val="bottom"/>
            <w:hideMark/>
          </w:tcPr>
          <w:p w14:paraId="6CD15A73" w14:textId="77777777" w:rsidR="001045F9" w:rsidRPr="001045F9" w:rsidRDefault="001045F9"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DOMI</w:t>
            </w:r>
          </w:p>
        </w:tc>
        <w:tc>
          <w:tcPr>
            <w:tcW w:w="2976" w:type="dxa"/>
            <w:shd w:val="clear" w:color="auto" w:fill="auto"/>
            <w:vAlign w:val="bottom"/>
            <w:hideMark/>
          </w:tcPr>
          <w:p w14:paraId="3687EBA8" w14:textId="77777777" w:rsidR="001045F9" w:rsidRPr="001045F9" w:rsidRDefault="001045F9"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Ministère de la femme, de la famille et de l'enfance</w:t>
            </w:r>
          </w:p>
        </w:tc>
      </w:tr>
      <w:tr w:rsidR="001045F9" w:rsidRPr="001045F9" w14:paraId="3058F0F8" w14:textId="77777777" w:rsidTr="00043D2A">
        <w:trPr>
          <w:trHeight w:val="603"/>
        </w:trPr>
        <w:tc>
          <w:tcPr>
            <w:tcW w:w="1040" w:type="dxa"/>
            <w:shd w:val="clear" w:color="auto" w:fill="auto"/>
            <w:noWrap/>
            <w:vAlign w:val="bottom"/>
            <w:hideMark/>
          </w:tcPr>
          <w:p w14:paraId="1BFEE357" w14:textId="77777777" w:rsidR="001045F9" w:rsidRPr="001045F9" w:rsidRDefault="001045F9"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Mme</w:t>
            </w:r>
          </w:p>
        </w:tc>
        <w:tc>
          <w:tcPr>
            <w:tcW w:w="1932" w:type="dxa"/>
            <w:shd w:val="clear" w:color="auto" w:fill="auto"/>
            <w:vAlign w:val="bottom"/>
            <w:hideMark/>
          </w:tcPr>
          <w:p w14:paraId="1C644338" w14:textId="77777777" w:rsidR="001045F9" w:rsidRPr="001045F9" w:rsidRDefault="001045F9"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Naoul Yahia</w:t>
            </w:r>
          </w:p>
        </w:tc>
        <w:tc>
          <w:tcPr>
            <w:tcW w:w="3119" w:type="dxa"/>
            <w:shd w:val="clear" w:color="auto" w:fill="auto"/>
            <w:vAlign w:val="bottom"/>
            <w:hideMark/>
          </w:tcPr>
          <w:p w14:paraId="4D73812D" w14:textId="77777777" w:rsidR="001045F9" w:rsidRPr="001045F9" w:rsidRDefault="001045F9"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Direction de la famille</w:t>
            </w:r>
          </w:p>
        </w:tc>
        <w:tc>
          <w:tcPr>
            <w:tcW w:w="2976" w:type="dxa"/>
            <w:shd w:val="clear" w:color="auto" w:fill="auto"/>
            <w:vAlign w:val="bottom"/>
            <w:hideMark/>
          </w:tcPr>
          <w:p w14:paraId="632F8046" w14:textId="77777777" w:rsidR="001045F9" w:rsidRPr="001045F9" w:rsidRDefault="001045F9"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Ministère de la femme, de la famille et de l'enfance</w:t>
            </w:r>
          </w:p>
        </w:tc>
      </w:tr>
      <w:tr w:rsidR="001045F9" w:rsidRPr="001045F9" w14:paraId="349B90CB" w14:textId="77777777" w:rsidTr="00043D2A">
        <w:trPr>
          <w:trHeight w:val="603"/>
        </w:trPr>
        <w:tc>
          <w:tcPr>
            <w:tcW w:w="1040" w:type="dxa"/>
            <w:shd w:val="clear" w:color="auto" w:fill="auto"/>
            <w:noWrap/>
            <w:vAlign w:val="bottom"/>
            <w:hideMark/>
          </w:tcPr>
          <w:p w14:paraId="5F213761" w14:textId="77777777" w:rsidR="001045F9" w:rsidRPr="001045F9" w:rsidRDefault="001045F9"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Mme</w:t>
            </w:r>
          </w:p>
        </w:tc>
        <w:tc>
          <w:tcPr>
            <w:tcW w:w="1932" w:type="dxa"/>
            <w:shd w:val="clear" w:color="auto" w:fill="auto"/>
            <w:vAlign w:val="bottom"/>
            <w:hideMark/>
          </w:tcPr>
          <w:p w14:paraId="1856638D" w14:textId="77777777" w:rsidR="001045F9" w:rsidRPr="001045F9" w:rsidRDefault="001045F9"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Lotfi Belazi</w:t>
            </w:r>
          </w:p>
        </w:tc>
        <w:tc>
          <w:tcPr>
            <w:tcW w:w="3119" w:type="dxa"/>
            <w:shd w:val="clear" w:color="auto" w:fill="auto"/>
            <w:vAlign w:val="bottom"/>
            <w:hideMark/>
          </w:tcPr>
          <w:p w14:paraId="4535CD7F" w14:textId="77777777" w:rsidR="001045F9" w:rsidRPr="001045F9" w:rsidRDefault="001045F9"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Directeur de l'animation socioeducative</w:t>
            </w:r>
          </w:p>
        </w:tc>
        <w:tc>
          <w:tcPr>
            <w:tcW w:w="2976" w:type="dxa"/>
            <w:shd w:val="clear" w:color="auto" w:fill="auto"/>
            <w:vAlign w:val="bottom"/>
            <w:hideMark/>
          </w:tcPr>
          <w:p w14:paraId="3C196099" w14:textId="77777777" w:rsidR="001045F9" w:rsidRPr="001045F9" w:rsidRDefault="001045F9"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Ministère de la femme, de la famille et de l'enfance</w:t>
            </w:r>
          </w:p>
        </w:tc>
      </w:tr>
      <w:tr w:rsidR="001045F9" w:rsidRPr="001045F9" w14:paraId="2F3415FD" w14:textId="77777777" w:rsidTr="00043D2A">
        <w:trPr>
          <w:trHeight w:val="603"/>
        </w:trPr>
        <w:tc>
          <w:tcPr>
            <w:tcW w:w="1040" w:type="dxa"/>
            <w:shd w:val="clear" w:color="auto" w:fill="auto"/>
            <w:noWrap/>
            <w:vAlign w:val="bottom"/>
            <w:hideMark/>
          </w:tcPr>
          <w:p w14:paraId="4F0E92F6" w14:textId="77777777" w:rsidR="001045F9" w:rsidRPr="001045F9" w:rsidRDefault="001045F9"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Mme</w:t>
            </w:r>
          </w:p>
        </w:tc>
        <w:tc>
          <w:tcPr>
            <w:tcW w:w="1932" w:type="dxa"/>
            <w:shd w:val="clear" w:color="auto" w:fill="auto"/>
            <w:vAlign w:val="bottom"/>
            <w:hideMark/>
          </w:tcPr>
          <w:p w14:paraId="7D28D1B0" w14:textId="77777777" w:rsidR="001045F9" w:rsidRPr="001045F9" w:rsidRDefault="001045F9"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Samira Ben Khedher</w:t>
            </w:r>
          </w:p>
        </w:tc>
        <w:tc>
          <w:tcPr>
            <w:tcW w:w="3119" w:type="dxa"/>
            <w:shd w:val="clear" w:color="auto" w:fill="auto"/>
            <w:vAlign w:val="bottom"/>
            <w:hideMark/>
          </w:tcPr>
          <w:p w14:paraId="2201437A" w14:textId="77777777" w:rsidR="001045F9" w:rsidRPr="001045F9" w:rsidRDefault="001045F9"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DOMI</w:t>
            </w:r>
          </w:p>
        </w:tc>
        <w:tc>
          <w:tcPr>
            <w:tcW w:w="2976" w:type="dxa"/>
            <w:shd w:val="clear" w:color="auto" w:fill="auto"/>
            <w:vAlign w:val="bottom"/>
            <w:hideMark/>
          </w:tcPr>
          <w:p w14:paraId="25866096" w14:textId="77777777" w:rsidR="001045F9" w:rsidRPr="001045F9" w:rsidRDefault="001045F9"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Ministère de la femme, de la famille et de l'enfance</w:t>
            </w:r>
          </w:p>
        </w:tc>
      </w:tr>
      <w:tr w:rsidR="001045F9" w:rsidRPr="001045F9" w14:paraId="041CFABE" w14:textId="77777777" w:rsidTr="00043D2A">
        <w:trPr>
          <w:trHeight w:val="603"/>
        </w:trPr>
        <w:tc>
          <w:tcPr>
            <w:tcW w:w="1040" w:type="dxa"/>
            <w:shd w:val="clear" w:color="auto" w:fill="auto"/>
            <w:noWrap/>
            <w:vAlign w:val="bottom"/>
            <w:hideMark/>
          </w:tcPr>
          <w:p w14:paraId="7C3C46ED" w14:textId="77777777" w:rsidR="001045F9" w:rsidRPr="001045F9" w:rsidRDefault="001045F9"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Mme</w:t>
            </w:r>
          </w:p>
        </w:tc>
        <w:tc>
          <w:tcPr>
            <w:tcW w:w="1932" w:type="dxa"/>
            <w:shd w:val="clear" w:color="auto" w:fill="auto"/>
            <w:vAlign w:val="bottom"/>
            <w:hideMark/>
          </w:tcPr>
          <w:p w14:paraId="2F79DEE5" w14:textId="77777777" w:rsidR="001045F9" w:rsidRPr="001045F9" w:rsidRDefault="001045F9"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Hanen Hanchi</w:t>
            </w:r>
          </w:p>
        </w:tc>
        <w:tc>
          <w:tcPr>
            <w:tcW w:w="3119" w:type="dxa"/>
            <w:shd w:val="clear" w:color="auto" w:fill="auto"/>
            <w:vAlign w:val="bottom"/>
            <w:hideMark/>
          </w:tcPr>
          <w:p w14:paraId="7168C723" w14:textId="77777777" w:rsidR="001045F9" w:rsidRPr="001045F9" w:rsidRDefault="001045F9"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Direction de l'enfance</w:t>
            </w:r>
          </w:p>
        </w:tc>
        <w:tc>
          <w:tcPr>
            <w:tcW w:w="2976" w:type="dxa"/>
            <w:shd w:val="clear" w:color="auto" w:fill="auto"/>
            <w:vAlign w:val="bottom"/>
            <w:hideMark/>
          </w:tcPr>
          <w:p w14:paraId="5BAC82A6" w14:textId="77777777" w:rsidR="001045F9" w:rsidRPr="001045F9" w:rsidRDefault="001045F9"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Ministère de la femme, de la famille et de l'enfance</w:t>
            </w:r>
          </w:p>
        </w:tc>
      </w:tr>
      <w:tr w:rsidR="001045F9" w:rsidRPr="001045F9" w14:paraId="28C22707" w14:textId="77777777" w:rsidTr="00043D2A">
        <w:trPr>
          <w:trHeight w:val="904"/>
        </w:trPr>
        <w:tc>
          <w:tcPr>
            <w:tcW w:w="1040" w:type="dxa"/>
            <w:shd w:val="clear" w:color="auto" w:fill="auto"/>
            <w:noWrap/>
            <w:vAlign w:val="bottom"/>
            <w:hideMark/>
          </w:tcPr>
          <w:p w14:paraId="66CBF5BB" w14:textId="77777777" w:rsidR="001045F9" w:rsidRPr="001045F9" w:rsidRDefault="001045F9"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 xml:space="preserve">Mr </w:t>
            </w:r>
          </w:p>
        </w:tc>
        <w:tc>
          <w:tcPr>
            <w:tcW w:w="1932" w:type="dxa"/>
            <w:shd w:val="clear" w:color="auto" w:fill="auto"/>
            <w:vAlign w:val="bottom"/>
            <w:hideMark/>
          </w:tcPr>
          <w:p w14:paraId="399EF54E" w14:textId="77777777" w:rsidR="001045F9" w:rsidRPr="001045F9" w:rsidRDefault="001045F9"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Chawki Gaddes</w:t>
            </w:r>
          </w:p>
        </w:tc>
        <w:tc>
          <w:tcPr>
            <w:tcW w:w="3119" w:type="dxa"/>
            <w:shd w:val="clear" w:color="auto" w:fill="auto"/>
            <w:vAlign w:val="bottom"/>
            <w:hideMark/>
          </w:tcPr>
          <w:p w14:paraId="22357A2B" w14:textId="77777777" w:rsidR="001045F9" w:rsidRPr="001045F9" w:rsidRDefault="001045F9"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Président</w:t>
            </w:r>
          </w:p>
        </w:tc>
        <w:tc>
          <w:tcPr>
            <w:tcW w:w="2976" w:type="dxa"/>
            <w:shd w:val="clear" w:color="auto" w:fill="auto"/>
            <w:vAlign w:val="bottom"/>
            <w:hideMark/>
          </w:tcPr>
          <w:p w14:paraId="789C8C60" w14:textId="77777777" w:rsidR="001045F9" w:rsidRPr="001045F9" w:rsidRDefault="001045F9"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Instance Nationale de la Protection des Données Personnelles</w:t>
            </w:r>
          </w:p>
        </w:tc>
      </w:tr>
      <w:tr w:rsidR="001045F9" w:rsidRPr="001045F9" w14:paraId="7825B429" w14:textId="77777777" w:rsidTr="00043D2A">
        <w:trPr>
          <w:trHeight w:val="603"/>
        </w:trPr>
        <w:tc>
          <w:tcPr>
            <w:tcW w:w="1040" w:type="dxa"/>
            <w:shd w:val="clear" w:color="auto" w:fill="auto"/>
            <w:noWrap/>
            <w:vAlign w:val="bottom"/>
            <w:hideMark/>
          </w:tcPr>
          <w:p w14:paraId="3B5FFD9A" w14:textId="77777777" w:rsidR="001045F9" w:rsidRPr="001045F9" w:rsidRDefault="001045F9"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Mme</w:t>
            </w:r>
          </w:p>
        </w:tc>
        <w:tc>
          <w:tcPr>
            <w:tcW w:w="1932" w:type="dxa"/>
            <w:shd w:val="clear" w:color="auto" w:fill="auto"/>
            <w:vAlign w:val="bottom"/>
            <w:hideMark/>
          </w:tcPr>
          <w:p w14:paraId="6C90D06A" w14:textId="77777777" w:rsidR="001045F9" w:rsidRPr="001045F9" w:rsidRDefault="001045F9"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Sonia Ben Salem</w:t>
            </w:r>
          </w:p>
        </w:tc>
        <w:tc>
          <w:tcPr>
            <w:tcW w:w="3119" w:type="dxa"/>
            <w:shd w:val="clear" w:color="auto" w:fill="auto"/>
            <w:vAlign w:val="bottom"/>
            <w:hideMark/>
          </w:tcPr>
          <w:p w14:paraId="0A9859B0" w14:textId="77777777" w:rsidR="001045F9" w:rsidRPr="001045F9" w:rsidRDefault="001045F9"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Directrice generale</w:t>
            </w:r>
          </w:p>
        </w:tc>
        <w:tc>
          <w:tcPr>
            <w:tcW w:w="2976" w:type="dxa"/>
            <w:shd w:val="clear" w:color="auto" w:fill="auto"/>
            <w:vAlign w:val="bottom"/>
            <w:hideMark/>
          </w:tcPr>
          <w:p w14:paraId="11B56D10" w14:textId="77777777" w:rsidR="001045F9" w:rsidRPr="001045F9" w:rsidRDefault="001045F9"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Haute Instance de la Commande Publique/ Unité TUNEPS</w:t>
            </w:r>
          </w:p>
        </w:tc>
      </w:tr>
      <w:tr w:rsidR="001045F9" w:rsidRPr="001045F9" w14:paraId="54C53460" w14:textId="77777777" w:rsidTr="00043D2A">
        <w:trPr>
          <w:trHeight w:val="603"/>
        </w:trPr>
        <w:tc>
          <w:tcPr>
            <w:tcW w:w="1040" w:type="dxa"/>
            <w:shd w:val="clear" w:color="auto" w:fill="auto"/>
            <w:noWrap/>
            <w:vAlign w:val="bottom"/>
            <w:hideMark/>
          </w:tcPr>
          <w:p w14:paraId="597D6F52" w14:textId="77777777" w:rsidR="001045F9" w:rsidRPr="001045F9" w:rsidRDefault="001045F9"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Mme</w:t>
            </w:r>
          </w:p>
        </w:tc>
        <w:tc>
          <w:tcPr>
            <w:tcW w:w="1932" w:type="dxa"/>
            <w:shd w:val="clear" w:color="auto" w:fill="auto"/>
            <w:vAlign w:val="bottom"/>
            <w:hideMark/>
          </w:tcPr>
          <w:p w14:paraId="3C248251" w14:textId="77777777" w:rsidR="001045F9" w:rsidRPr="001045F9" w:rsidRDefault="001045F9"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Arfaoui Samira</w:t>
            </w:r>
          </w:p>
        </w:tc>
        <w:tc>
          <w:tcPr>
            <w:tcW w:w="3119" w:type="dxa"/>
            <w:shd w:val="clear" w:color="auto" w:fill="auto"/>
            <w:vAlign w:val="bottom"/>
            <w:hideMark/>
          </w:tcPr>
          <w:p w14:paraId="5FA83BFC" w14:textId="77777777" w:rsidR="001045F9" w:rsidRPr="001045F9" w:rsidRDefault="001045F9"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Journaliste</w:t>
            </w:r>
          </w:p>
        </w:tc>
        <w:tc>
          <w:tcPr>
            <w:tcW w:w="2976" w:type="dxa"/>
            <w:shd w:val="clear" w:color="auto" w:fill="auto"/>
            <w:vAlign w:val="bottom"/>
            <w:hideMark/>
          </w:tcPr>
          <w:p w14:paraId="5412153A" w14:textId="77777777" w:rsidR="001045F9" w:rsidRPr="001045F9" w:rsidRDefault="001045F9"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Haute Instance de la Commande Publique/ Unité TUNEPS</w:t>
            </w:r>
          </w:p>
        </w:tc>
      </w:tr>
      <w:tr w:rsidR="001045F9" w:rsidRPr="001045F9" w14:paraId="1AA92003" w14:textId="77777777" w:rsidTr="00043D2A">
        <w:trPr>
          <w:trHeight w:val="603"/>
        </w:trPr>
        <w:tc>
          <w:tcPr>
            <w:tcW w:w="1040" w:type="dxa"/>
            <w:shd w:val="clear" w:color="auto" w:fill="auto"/>
            <w:noWrap/>
            <w:vAlign w:val="bottom"/>
            <w:hideMark/>
          </w:tcPr>
          <w:p w14:paraId="2C772CB4" w14:textId="77777777" w:rsidR="001045F9" w:rsidRPr="001045F9" w:rsidRDefault="001045F9"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Mme</w:t>
            </w:r>
          </w:p>
        </w:tc>
        <w:tc>
          <w:tcPr>
            <w:tcW w:w="1932" w:type="dxa"/>
            <w:shd w:val="clear" w:color="auto" w:fill="auto"/>
            <w:vAlign w:val="bottom"/>
            <w:hideMark/>
          </w:tcPr>
          <w:p w14:paraId="72FAC975" w14:textId="77777777" w:rsidR="001045F9" w:rsidRPr="001045F9" w:rsidRDefault="001045F9"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Zhioua Rabeb</w:t>
            </w:r>
          </w:p>
        </w:tc>
        <w:tc>
          <w:tcPr>
            <w:tcW w:w="3119" w:type="dxa"/>
            <w:shd w:val="clear" w:color="auto" w:fill="auto"/>
            <w:vAlign w:val="bottom"/>
            <w:hideMark/>
          </w:tcPr>
          <w:p w14:paraId="1A0F8611" w14:textId="77777777" w:rsidR="001045F9" w:rsidRPr="001045F9" w:rsidRDefault="001045F9"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ingenieur</w:t>
            </w:r>
          </w:p>
        </w:tc>
        <w:tc>
          <w:tcPr>
            <w:tcW w:w="2976" w:type="dxa"/>
            <w:shd w:val="clear" w:color="auto" w:fill="auto"/>
            <w:vAlign w:val="bottom"/>
            <w:hideMark/>
          </w:tcPr>
          <w:p w14:paraId="6096F7B1" w14:textId="77777777" w:rsidR="001045F9" w:rsidRPr="001045F9" w:rsidRDefault="001045F9"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Haute Instance de la Commande Publique/ Unité TUNEPS</w:t>
            </w:r>
          </w:p>
        </w:tc>
      </w:tr>
      <w:tr w:rsidR="001045F9" w:rsidRPr="001045F9" w14:paraId="24CD095F" w14:textId="77777777" w:rsidTr="00043D2A">
        <w:trPr>
          <w:trHeight w:val="603"/>
        </w:trPr>
        <w:tc>
          <w:tcPr>
            <w:tcW w:w="1040" w:type="dxa"/>
            <w:shd w:val="clear" w:color="auto" w:fill="auto"/>
            <w:noWrap/>
            <w:vAlign w:val="bottom"/>
            <w:hideMark/>
          </w:tcPr>
          <w:p w14:paraId="365CB8E0" w14:textId="77777777" w:rsidR="001045F9" w:rsidRPr="001045F9" w:rsidRDefault="001045F9"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Mme</w:t>
            </w:r>
          </w:p>
        </w:tc>
        <w:tc>
          <w:tcPr>
            <w:tcW w:w="1932" w:type="dxa"/>
            <w:shd w:val="clear" w:color="auto" w:fill="auto"/>
            <w:vAlign w:val="bottom"/>
            <w:hideMark/>
          </w:tcPr>
          <w:p w14:paraId="1E2D4B3C" w14:textId="77777777" w:rsidR="001045F9" w:rsidRPr="001045F9" w:rsidRDefault="001045F9"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Manel Nasri</w:t>
            </w:r>
          </w:p>
        </w:tc>
        <w:tc>
          <w:tcPr>
            <w:tcW w:w="3119" w:type="dxa"/>
            <w:shd w:val="clear" w:color="auto" w:fill="auto"/>
            <w:vAlign w:val="bottom"/>
            <w:hideMark/>
          </w:tcPr>
          <w:p w14:paraId="4AABF8D0" w14:textId="77777777" w:rsidR="001045F9" w:rsidRPr="001045F9" w:rsidRDefault="001045F9"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ingénieur principal</w:t>
            </w:r>
          </w:p>
        </w:tc>
        <w:tc>
          <w:tcPr>
            <w:tcW w:w="2976" w:type="dxa"/>
            <w:shd w:val="clear" w:color="auto" w:fill="auto"/>
            <w:vAlign w:val="bottom"/>
            <w:hideMark/>
          </w:tcPr>
          <w:p w14:paraId="4275305C" w14:textId="77777777" w:rsidR="001045F9" w:rsidRPr="001045F9" w:rsidRDefault="001045F9"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Haute Instance de la Commande Publique/ Unité TUNEPS</w:t>
            </w:r>
          </w:p>
        </w:tc>
      </w:tr>
      <w:tr w:rsidR="001045F9" w:rsidRPr="001045F9" w14:paraId="4F2B7E62" w14:textId="77777777" w:rsidTr="00043D2A">
        <w:trPr>
          <w:trHeight w:val="603"/>
        </w:trPr>
        <w:tc>
          <w:tcPr>
            <w:tcW w:w="1040" w:type="dxa"/>
            <w:shd w:val="clear" w:color="auto" w:fill="auto"/>
            <w:noWrap/>
            <w:vAlign w:val="bottom"/>
            <w:hideMark/>
          </w:tcPr>
          <w:p w14:paraId="68ED5415" w14:textId="77777777" w:rsidR="001045F9" w:rsidRPr="001045F9" w:rsidRDefault="001045F9"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Mr</w:t>
            </w:r>
          </w:p>
        </w:tc>
        <w:tc>
          <w:tcPr>
            <w:tcW w:w="1932" w:type="dxa"/>
            <w:shd w:val="clear" w:color="auto" w:fill="auto"/>
            <w:vAlign w:val="bottom"/>
            <w:hideMark/>
          </w:tcPr>
          <w:p w14:paraId="73BF89E9" w14:textId="77777777" w:rsidR="001045F9" w:rsidRPr="001045F9" w:rsidRDefault="001045F9"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Marwen Bouzid</w:t>
            </w:r>
          </w:p>
        </w:tc>
        <w:tc>
          <w:tcPr>
            <w:tcW w:w="3119" w:type="dxa"/>
            <w:shd w:val="clear" w:color="auto" w:fill="auto"/>
            <w:vAlign w:val="bottom"/>
            <w:hideMark/>
          </w:tcPr>
          <w:p w14:paraId="161A9925" w14:textId="77777777" w:rsidR="001045F9" w:rsidRPr="001045F9" w:rsidRDefault="001045F9"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ingénieur</w:t>
            </w:r>
          </w:p>
        </w:tc>
        <w:tc>
          <w:tcPr>
            <w:tcW w:w="2976" w:type="dxa"/>
            <w:shd w:val="clear" w:color="auto" w:fill="auto"/>
            <w:vAlign w:val="bottom"/>
            <w:hideMark/>
          </w:tcPr>
          <w:p w14:paraId="1571F0B1" w14:textId="77777777" w:rsidR="001045F9" w:rsidRPr="001045F9" w:rsidRDefault="001045F9"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Haute Instance de la Commande Publique/ Unité TUNEPS</w:t>
            </w:r>
          </w:p>
        </w:tc>
      </w:tr>
      <w:tr w:rsidR="001045F9" w:rsidRPr="001045F9" w14:paraId="3C56E582" w14:textId="77777777" w:rsidTr="00043D2A">
        <w:trPr>
          <w:trHeight w:val="904"/>
        </w:trPr>
        <w:tc>
          <w:tcPr>
            <w:tcW w:w="1040" w:type="dxa"/>
            <w:shd w:val="clear" w:color="auto" w:fill="auto"/>
            <w:noWrap/>
            <w:vAlign w:val="bottom"/>
            <w:hideMark/>
          </w:tcPr>
          <w:p w14:paraId="529C4566" w14:textId="77777777" w:rsidR="001045F9" w:rsidRPr="001045F9" w:rsidRDefault="001045F9"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Mme</w:t>
            </w:r>
          </w:p>
        </w:tc>
        <w:tc>
          <w:tcPr>
            <w:tcW w:w="1932" w:type="dxa"/>
            <w:shd w:val="clear" w:color="auto" w:fill="auto"/>
            <w:vAlign w:val="bottom"/>
            <w:hideMark/>
          </w:tcPr>
          <w:p w14:paraId="501F450D" w14:textId="77777777" w:rsidR="001045F9" w:rsidRPr="001045F9" w:rsidRDefault="001045F9"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Nejma Kamoun</w:t>
            </w:r>
          </w:p>
        </w:tc>
        <w:tc>
          <w:tcPr>
            <w:tcW w:w="3119" w:type="dxa"/>
            <w:shd w:val="clear" w:color="auto" w:fill="auto"/>
            <w:vAlign w:val="bottom"/>
            <w:hideMark/>
          </w:tcPr>
          <w:p w14:paraId="5AA8EC3F" w14:textId="77777777" w:rsidR="001045F9" w:rsidRPr="001045F9" w:rsidRDefault="001045F9"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Chef de service</w:t>
            </w:r>
          </w:p>
        </w:tc>
        <w:tc>
          <w:tcPr>
            <w:tcW w:w="2976" w:type="dxa"/>
            <w:shd w:val="clear" w:color="auto" w:fill="auto"/>
            <w:vAlign w:val="bottom"/>
            <w:hideMark/>
          </w:tcPr>
          <w:p w14:paraId="1D7C15A4" w14:textId="77777777" w:rsidR="001045F9" w:rsidRPr="001045F9" w:rsidRDefault="001045F9"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Haute Instance de la Commande Publique/ Observatoire National des Marchés Publics</w:t>
            </w:r>
          </w:p>
        </w:tc>
      </w:tr>
      <w:tr w:rsidR="001045F9" w:rsidRPr="001045F9" w14:paraId="7B215D08" w14:textId="77777777" w:rsidTr="00043D2A">
        <w:trPr>
          <w:trHeight w:val="301"/>
        </w:trPr>
        <w:tc>
          <w:tcPr>
            <w:tcW w:w="1040" w:type="dxa"/>
            <w:shd w:val="clear" w:color="auto" w:fill="auto"/>
            <w:noWrap/>
            <w:vAlign w:val="bottom"/>
            <w:hideMark/>
          </w:tcPr>
          <w:p w14:paraId="0EABDC91" w14:textId="77777777" w:rsidR="001045F9" w:rsidRPr="001045F9" w:rsidRDefault="001045F9"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Mr</w:t>
            </w:r>
          </w:p>
        </w:tc>
        <w:tc>
          <w:tcPr>
            <w:tcW w:w="1932" w:type="dxa"/>
            <w:shd w:val="clear" w:color="auto" w:fill="auto"/>
            <w:vAlign w:val="bottom"/>
            <w:hideMark/>
          </w:tcPr>
          <w:p w14:paraId="72396889" w14:textId="77777777" w:rsidR="001045F9" w:rsidRPr="001045F9" w:rsidRDefault="001045F9"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Adnen Lasouad</w:t>
            </w:r>
          </w:p>
        </w:tc>
        <w:tc>
          <w:tcPr>
            <w:tcW w:w="3119" w:type="dxa"/>
            <w:shd w:val="clear" w:color="auto" w:fill="auto"/>
            <w:vAlign w:val="bottom"/>
            <w:hideMark/>
          </w:tcPr>
          <w:p w14:paraId="1F6C4303" w14:textId="77777777" w:rsidR="001045F9" w:rsidRPr="001045F9" w:rsidRDefault="001045F9"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vice-président</w:t>
            </w:r>
          </w:p>
        </w:tc>
        <w:tc>
          <w:tcPr>
            <w:tcW w:w="2976" w:type="dxa"/>
            <w:shd w:val="clear" w:color="auto" w:fill="auto"/>
            <w:vAlign w:val="bottom"/>
            <w:hideMark/>
          </w:tcPr>
          <w:p w14:paraId="17538BA8" w14:textId="77777777" w:rsidR="001045F9" w:rsidRPr="001045F9" w:rsidRDefault="001045F9" w:rsidP="001045F9">
            <w:pPr>
              <w:spacing w:after="0" w:line="240" w:lineRule="auto"/>
              <w:rPr>
                <w:rFonts w:ascii="Calibri" w:eastAsia="Times New Roman" w:hAnsi="Calibri" w:cs="Calibri"/>
                <w:lang w:eastAsia="fr-FR"/>
              </w:rPr>
            </w:pPr>
            <w:r w:rsidRPr="001045F9">
              <w:rPr>
                <w:rFonts w:ascii="Calibri" w:eastAsia="Times New Roman" w:hAnsi="Calibri" w:cs="Calibri"/>
                <w:lang w:eastAsia="fr-FR"/>
              </w:rPr>
              <w:t>Instance d'accès à l'information</w:t>
            </w:r>
          </w:p>
        </w:tc>
      </w:tr>
    </w:tbl>
    <w:p w14:paraId="63041279" w14:textId="77777777" w:rsidR="00990EC4" w:rsidRPr="00990EC4" w:rsidRDefault="00990EC4" w:rsidP="00990EC4"/>
    <w:p w14:paraId="5AC2B4A9" w14:textId="77777777" w:rsidR="00D65E53" w:rsidRDefault="00D65E53">
      <w:pPr>
        <w:rPr>
          <w:rFonts w:asciiTheme="majorHAnsi" w:eastAsiaTheme="majorEastAsia" w:hAnsiTheme="majorHAnsi" w:cstheme="majorBidi"/>
          <w:b/>
          <w:bCs/>
          <w:caps/>
          <w:color w:val="FFFFFF" w:themeColor="background1"/>
          <w:sz w:val="28"/>
          <w:szCs w:val="28"/>
        </w:rPr>
      </w:pPr>
      <w:r>
        <w:br w:type="page"/>
      </w:r>
    </w:p>
    <w:p w14:paraId="06FA57A6" w14:textId="67145DF0" w:rsidR="00990EC4" w:rsidRDefault="00990EC4" w:rsidP="003031BA">
      <w:pPr>
        <w:pStyle w:val="Titre1"/>
        <w:jc w:val="left"/>
      </w:pPr>
      <w:bookmarkStart w:id="44" w:name="_Toc496544791"/>
      <w:r>
        <w:t xml:space="preserve">Annexe B – </w:t>
      </w:r>
      <w:r w:rsidR="00043D2A">
        <w:t>Atelier de lancement</w:t>
      </w:r>
      <w:bookmarkEnd w:id="44"/>
    </w:p>
    <w:p w14:paraId="64DC314C" w14:textId="41B3EFAF" w:rsidR="00990EC4" w:rsidRDefault="00043D2A" w:rsidP="00990EC4">
      <w:r>
        <w:t>Liste des participants à l’atelier de lancement du 26 Septembre 2017</w:t>
      </w:r>
    </w:p>
    <w:tbl>
      <w:tblPr>
        <w:tblStyle w:val="Grilledutableau"/>
        <w:tblW w:w="9067" w:type="dxa"/>
        <w:tblLook w:val="04A0" w:firstRow="1" w:lastRow="0" w:firstColumn="1" w:lastColumn="0" w:noHBand="0" w:noVBand="1"/>
      </w:tblPr>
      <w:tblGrid>
        <w:gridCol w:w="3936"/>
        <w:gridCol w:w="5131"/>
      </w:tblGrid>
      <w:tr w:rsidR="00D65E53" w14:paraId="153C7FBA" w14:textId="77777777" w:rsidTr="00043D2A">
        <w:tc>
          <w:tcPr>
            <w:tcW w:w="3936" w:type="dxa"/>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14:paraId="20FCD844" w14:textId="77777777" w:rsidR="00D65E53" w:rsidRDefault="00D65E53">
            <w:pPr>
              <w:jc w:val="center"/>
              <w:rPr>
                <w:b/>
                <w:bCs/>
                <w:sz w:val="28"/>
                <w:szCs w:val="28"/>
              </w:rPr>
            </w:pPr>
            <w:r>
              <w:rPr>
                <w:b/>
                <w:bCs/>
                <w:sz w:val="28"/>
                <w:szCs w:val="28"/>
              </w:rPr>
              <w:t>Nom et prénom</w:t>
            </w:r>
          </w:p>
        </w:tc>
        <w:tc>
          <w:tcPr>
            <w:tcW w:w="5131" w:type="dxa"/>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14:paraId="1F017043" w14:textId="11528FCA" w:rsidR="00D65E53" w:rsidRDefault="00D65E53">
            <w:pPr>
              <w:jc w:val="center"/>
              <w:rPr>
                <w:b/>
                <w:bCs/>
                <w:sz w:val="28"/>
                <w:szCs w:val="28"/>
              </w:rPr>
            </w:pPr>
            <w:r>
              <w:rPr>
                <w:b/>
                <w:bCs/>
                <w:sz w:val="28"/>
                <w:szCs w:val="28"/>
              </w:rPr>
              <w:t>Organisme</w:t>
            </w:r>
          </w:p>
        </w:tc>
      </w:tr>
      <w:tr w:rsidR="00D65E53" w14:paraId="59A88924" w14:textId="77777777" w:rsidTr="00043D2A">
        <w:tc>
          <w:tcPr>
            <w:tcW w:w="3936" w:type="dxa"/>
            <w:tcBorders>
              <w:top w:val="single" w:sz="4" w:space="0" w:color="auto"/>
              <w:left w:val="single" w:sz="4" w:space="0" w:color="auto"/>
              <w:bottom w:val="single" w:sz="4" w:space="0" w:color="auto"/>
              <w:right w:val="single" w:sz="4" w:space="0" w:color="auto"/>
            </w:tcBorders>
            <w:hideMark/>
          </w:tcPr>
          <w:p w14:paraId="4CFCBDB0" w14:textId="77777777" w:rsidR="00D65E53" w:rsidRPr="00D65E53" w:rsidRDefault="00D65E53">
            <w:pPr>
              <w:rPr>
                <w:rFonts w:cstheme="minorHAnsi"/>
                <w:bCs/>
                <w:sz w:val="24"/>
                <w:szCs w:val="24"/>
              </w:rPr>
            </w:pPr>
            <w:r w:rsidRPr="00D65E53">
              <w:rPr>
                <w:rFonts w:cstheme="minorHAnsi"/>
                <w:bCs/>
                <w:sz w:val="24"/>
                <w:szCs w:val="24"/>
              </w:rPr>
              <w:t>Khaled Sellami</w:t>
            </w:r>
          </w:p>
        </w:tc>
        <w:tc>
          <w:tcPr>
            <w:tcW w:w="5131" w:type="dxa"/>
            <w:tcBorders>
              <w:top w:val="single" w:sz="4" w:space="0" w:color="auto"/>
              <w:left w:val="single" w:sz="4" w:space="0" w:color="auto"/>
              <w:bottom w:val="single" w:sz="4" w:space="0" w:color="auto"/>
              <w:right w:val="single" w:sz="4" w:space="0" w:color="auto"/>
            </w:tcBorders>
            <w:hideMark/>
          </w:tcPr>
          <w:p w14:paraId="1705EED8" w14:textId="77777777" w:rsidR="00D65E53" w:rsidRPr="00D65E53" w:rsidRDefault="00D65E53">
            <w:pPr>
              <w:rPr>
                <w:rFonts w:cstheme="minorHAnsi"/>
                <w:bCs/>
                <w:sz w:val="24"/>
                <w:szCs w:val="24"/>
              </w:rPr>
            </w:pPr>
            <w:r w:rsidRPr="00D65E53">
              <w:rPr>
                <w:rFonts w:cstheme="minorHAnsi"/>
                <w:bCs/>
                <w:sz w:val="24"/>
                <w:szCs w:val="24"/>
              </w:rPr>
              <w:t>Présidence du Gouvernement</w:t>
            </w:r>
          </w:p>
        </w:tc>
      </w:tr>
      <w:tr w:rsidR="00D65E53" w14:paraId="59E7F692" w14:textId="77777777" w:rsidTr="00043D2A">
        <w:tc>
          <w:tcPr>
            <w:tcW w:w="3936" w:type="dxa"/>
            <w:tcBorders>
              <w:top w:val="single" w:sz="4" w:space="0" w:color="auto"/>
              <w:left w:val="single" w:sz="4" w:space="0" w:color="auto"/>
              <w:bottom w:val="single" w:sz="4" w:space="0" w:color="auto"/>
              <w:right w:val="single" w:sz="4" w:space="0" w:color="auto"/>
            </w:tcBorders>
            <w:hideMark/>
          </w:tcPr>
          <w:p w14:paraId="31A21E85" w14:textId="77777777" w:rsidR="00D65E53" w:rsidRPr="00D65E53" w:rsidRDefault="00D65E53">
            <w:pPr>
              <w:rPr>
                <w:rFonts w:cstheme="minorHAnsi"/>
                <w:bCs/>
                <w:sz w:val="24"/>
                <w:szCs w:val="24"/>
              </w:rPr>
            </w:pPr>
            <w:r w:rsidRPr="00D65E53">
              <w:rPr>
                <w:rFonts w:cstheme="minorHAnsi"/>
                <w:bCs/>
                <w:sz w:val="24"/>
                <w:szCs w:val="24"/>
              </w:rPr>
              <w:t>Simon Carl O’Meally</w:t>
            </w:r>
          </w:p>
        </w:tc>
        <w:tc>
          <w:tcPr>
            <w:tcW w:w="5131" w:type="dxa"/>
            <w:tcBorders>
              <w:top w:val="single" w:sz="4" w:space="0" w:color="auto"/>
              <w:left w:val="single" w:sz="4" w:space="0" w:color="auto"/>
              <w:bottom w:val="single" w:sz="4" w:space="0" w:color="auto"/>
              <w:right w:val="single" w:sz="4" w:space="0" w:color="auto"/>
            </w:tcBorders>
            <w:hideMark/>
          </w:tcPr>
          <w:p w14:paraId="33799222" w14:textId="77777777" w:rsidR="00D65E53" w:rsidRPr="00D65E53" w:rsidRDefault="00D65E53">
            <w:pPr>
              <w:rPr>
                <w:rFonts w:cstheme="minorHAnsi"/>
                <w:bCs/>
                <w:sz w:val="24"/>
                <w:szCs w:val="24"/>
              </w:rPr>
            </w:pPr>
            <w:r w:rsidRPr="00D65E53">
              <w:rPr>
                <w:rFonts w:cstheme="minorHAnsi"/>
                <w:bCs/>
                <w:sz w:val="24"/>
                <w:szCs w:val="24"/>
              </w:rPr>
              <w:t xml:space="preserve">Banque Mondiale </w:t>
            </w:r>
          </w:p>
        </w:tc>
      </w:tr>
      <w:tr w:rsidR="00D65E53" w14:paraId="05C2F15B" w14:textId="77777777" w:rsidTr="00043D2A">
        <w:tc>
          <w:tcPr>
            <w:tcW w:w="3936" w:type="dxa"/>
            <w:tcBorders>
              <w:top w:val="single" w:sz="4" w:space="0" w:color="auto"/>
              <w:left w:val="single" w:sz="4" w:space="0" w:color="auto"/>
              <w:bottom w:val="single" w:sz="4" w:space="0" w:color="auto"/>
              <w:right w:val="single" w:sz="4" w:space="0" w:color="auto"/>
            </w:tcBorders>
            <w:hideMark/>
          </w:tcPr>
          <w:p w14:paraId="32EB1F2C" w14:textId="77777777" w:rsidR="00D65E53" w:rsidRPr="00D65E53" w:rsidRDefault="00D65E53">
            <w:pPr>
              <w:rPr>
                <w:rFonts w:cstheme="minorHAnsi"/>
                <w:bCs/>
                <w:sz w:val="24"/>
                <w:szCs w:val="24"/>
              </w:rPr>
            </w:pPr>
            <w:r w:rsidRPr="00D65E53">
              <w:rPr>
                <w:rFonts w:cstheme="minorHAnsi"/>
                <w:bCs/>
                <w:sz w:val="24"/>
                <w:szCs w:val="24"/>
              </w:rPr>
              <w:t>Ibrahim El ghandour</w:t>
            </w:r>
          </w:p>
        </w:tc>
        <w:tc>
          <w:tcPr>
            <w:tcW w:w="5131" w:type="dxa"/>
            <w:tcBorders>
              <w:top w:val="single" w:sz="4" w:space="0" w:color="auto"/>
              <w:left w:val="single" w:sz="4" w:space="0" w:color="auto"/>
              <w:bottom w:val="single" w:sz="4" w:space="0" w:color="auto"/>
              <w:right w:val="single" w:sz="4" w:space="0" w:color="auto"/>
            </w:tcBorders>
            <w:hideMark/>
          </w:tcPr>
          <w:p w14:paraId="0117B68D" w14:textId="77777777" w:rsidR="00D65E53" w:rsidRPr="00D65E53" w:rsidRDefault="00D65E53">
            <w:pPr>
              <w:rPr>
                <w:rFonts w:cstheme="minorHAnsi"/>
                <w:sz w:val="24"/>
                <w:szCs w:val="24"/>
              </w:rPr>
            </w:pPr>
            <w:r w:rsidRPr="00D65E53">
              <w:rPr>
                <w:rFonts w:cstheme="minorHAnsi"/>
                <w:bCs/>
                <w:sz w:val="24"/>
                <w:szCs w:val="24"/>
              </w:rPr>
              <w:t xml:space="preserve">Banque Mondiale </w:t>
            </w:r>
          </w:p>
        </w:tc>
      </w:tr>
      <w:tr w:rsidR="00D65E53" w14:paraId="747C3B96" w14:textId="77777777" w:rsidTr="00043D2A">
        <w:tc>
          <w:tcPr>
            <w:tcW w:w="3936" w:type="dxa"/>
            <w:tcBorders>
              <w:top w:val="single" w:sz="4" w:space="0" w:color="auto"/>
              <w:left w:val="single" w:sz="4" w:space="0" w:color="auto"/>
              <w:bottom w:val="single" w:sz="4" w:space="0" w:color="auto"/>
              <w:right w:val="single" w:sz="4" w:space="0" w:color="auto"/>
            </w:tcBorders>
            <w:hideMark/>
          </w:tcPr>
          <w:p w14:paraId="22B1D108" w14:textId="77777777" w:rsidR="00D65E53" w:rsidRPr="00D65E53" w:rsidRDefault="00D65E53">
            <w:pPr>
              <w:rPr>
                <w:rFonts w:cstheme="minorHAnsi"/>
                <w:bCs/>
                <w:sz w:val="24"/>
                <w:szCs w:val="24"/>
              </w:rPr>
            </w:pPr>
            <w:r w:rsidRPr="00D65E53">
              <w:rPr>
                <w:rFonts w:cstheme="minorHAnsi"/>
                <w:bCs/>
                <w:sz w:val="24"/>
                <w:szCs w:val="24"/>
              </w:rPr>
              <w:t>Marion Daull</w:t>
            </w:r>
          </w:p>
        </w:tc>
        <w:tc>
          <w:tcPr>
            <w:tcW w:w="5131" w:type="dxa"/>
            <w:tcBorders>
              <w:top w:val="single" w:sz="4" w:space="0" w:color="auto"/>
              <w:left w:val="single" w:sz="4" w:space="0" w:color="auto"/>
              <w:bottom w:val="single" w:sz="4" w:space="0" w:color="auto"/>
              <w:right w:val="single" w:sz="4" w:space="0" w:color="auto"/>
            </w:tcBorders>
            <w:hideMark/>
          </w:tcPr>
          <w:p w14:paraId="1AACDBE2" w14:textId="77777777" w:rsidR="00D65E53" w:rsidRPr="00D65E53" w:rsidRDefault="00D65E53">
            <w:pPr>
              <w:rPr>
                <w:rFonts w:cstheme="minorHAnsi"/>
                <w:sz w:val="24"/>
                <w:szCs w:val="24"/>
              </w:rPr>
            </w:pPr>
            <w:r w:rsidRPr="00D65E53">
              <w:rPr>
                <w:rFonts w:cstheme="minorHAnsi"/>
                <w:bCs/>
                <w:sz w:val="24"/>
                <w:szCs w:val="24"/>
              </w:rPr>
              <w:t xml:space="preserve">Banque Mondiale </w:t>
            </w:r>
          </w:p>
        </w:tc>
      </w:tr>
      <w:tr w:rsidR="00D65E53" w14:paraId="4504BF65" w14:textId="77777777" w:rsidTr="00043D2A">
        <w:tc>
          <w:tcPr>
            <w:tcW w:w="3936" w:type="dxa"/>
            <w:tcBorders>
              <w:top w:val="single" w:sz="4" w:space="0" w:color="auto"/>
              <w:left w:val="single" w:sz="4" w:space="0" w:color="auto"/>
              <w:bottom w:val="single" w:sz="4" w:space="0" w:color="auto"/>
              <w:right w:val="single" w:sz="4" w:space="0" w:color="auto"/>
            </w:tcBorders>
            <w:hideMark/>
          </w:tcPr>
          <w:p w14:paraId="5D06E0D0" w14:textId="77777777" w:rsidR="00D65E53" w:rsidRPr="00D65E53" w:rsidRDefault="00D65E53">
            <w:pPr>
              <w:rPr>
                <w:rFonts w:cstheme="minorHAnsi"/>
                <w:bCs/>
                <w:sz w:val="24"/>
                <w:szCs w:val="24"/>
              </w:rPr>
            </w:pPr>
            <w:r w:rsidRPr="00D65E53">
              <w:rPr>
                <w:rFonts w:cstheme="minorHAnsi"/>
                <w:bCs/>
                <w:sz w:val="24"/>
                <w:szCs w:val="24"/>
              </w:rPr>
              <w:t>Rim Garnaoui</w:t>
            </w:r>
          </w:p>
        </w:tc>
        <w:tc>
          <w:tcPr>
            <w:tcW w:w="5131" w:type="dxa"/>
            <w:tcBorders>
              <w:top w:val="single" w:sz="4" w:space="0" w:color="auto"/>
              <w:left w:val="single" w:sz="4" w:space="0" w:color="auto"/>
              <w:bottom w:val="single" w:sz="4" w:space="0" w:color="auto"/>
              <w:right w:val="single" w:sz="4" w:space="0" w:color="auto"/>
            </w:tcBorders>
            <w:hideMark/>
          </w:tcPr>
          <w:p w14:paraId="6BEB82C5" w14:textId="77777777" w:rsidR="00D65E53" w:rsidRPr="00D65E53" w:rsidRDefault="00D65E53">
            <w:pPr>
              <w:rPr>
                <w:rFonts w:cstheme="minorHAnsi"/>
                <w:bCs/>
                <w:sz w:val="24"/>
                <w:szCs w:val="24"/>
              </w:rPr>
            </w:pPr>
            <w:r w:rsidRPr="00D65E53">
              <w:rPr>
                <w:rFonts w:cstheme="minorHAnsi"/>
                <w:bCs/>
                <w:sz w:val="24"/>
                <w:szCs w:val="24"/>
              </w:rPr>
              <w:t>Présidence du Gouvernement</w:t>
            </w:r>
          </w:p>
        </w:tc>
      </w:tr>
      <w:tr w:rsidR="00D65E53" w14:paraId="7C852536" w14:textId="77777777" w:rsidTr="00043D2A">
        <w:tc>
          <w:tcPr>
            <w:tcW w:w="3936" w:type="dxa"/>
            <w:tcBorders>
              <w:top w:val="single" w:sz="4" w:space="0" w:color="auto"/>
              <w:left w:val="single" w:sz="4" w:space="0" w:color="auto"/>
              <w:bottom w:val="single" w:sz="4" w:space="0" w:color="auto"/>
              <w:right w:val="single" w:sz="4" w:space="0" w:color="auto"/>
            </w:tcBorders>
            <w:hideMark/>
          </w:tcPr>
          <w:p w14:paraId="622F5B08" w14:textId="77777777" w:rsidR="00D65E53" w:rsidRPr="00D65E53" w:rsidRDefault="00D65E53">
            <w:pPr>
              <w:rPr>
                <w:rFonts w:cstheme="minorHAnsi"/>
                <w:bCs/>
                <w:sz w:val="24"/>
                <w:szCs w:val="24"/>
              </w:rPr>
            </w:pPr>
            <w:r w:rsidRPr="00D65E53">
              <w:rPr>
                <w:rFonts w:cstheme="minorHAnsi"/>
                <w:bCs/>
                <w:sz w:val="24"/>
                <w:szCs w:val="24"/>
              </w:rPr>
              <w:t>Saoussen Moalla</w:t>
            </w:r>
          </w:p>
        </w:tc>
        <w:tc>
          <w:tcPr>
            <w:tcW w:w="5131" w:type="dxa"/>
            <w:tcBorders>
              <w:top w:val="single" w:sz="4" w:space="0" w:color="auto"/>
              <w:left w:val="single" w:sz="4" w:space="0" w:color="auto"/>
              <w:bottom w:val="single" w:sz="4" w:space="0" w:color="auto"/>
              <w:right w:val="single" w:sz="4" w:space="0" w:color="auto"/>
            </w:tcBorders>
            <w:hideMark/>
          </w:tcPr>
          <w:p w14:paraId="4DC43DD6" w14:textId="77777777" w:rsidR="00D65E53" w:rsidRPr="00D65E53" w:rsidRDefault="00D65E53">
            <w:pPr>
              <w:rPr>
                <w:rFonts w:cstheme="minorHAnsi"/>
                <w:bCs/>
                <w:sz w:val="24"/>
                <w:szCs w:val="24"/>
              </w:rPr>
            </w:pPr>
            <w:r w:rsidRPr="00D65E53">
              <w:rPr>
                <w:rFonts w:cstheme="minorHAnsi"/>
                <w:bCs/>
                <w:sz w:val="24"/>
                <w:szCs w:val="24"/>
              </w:rPr>
              <w:t>Présidence du Gouvernement</w:t>
            </w:r>
          </w:p>
        </w:tc>
      </w:tr>
      <w:tr w:rsidR="00D65E53" w14:paraId="0BD79787" w14:textId="77777777" w:rsidTr="00043D2A">
        <w:tc>
          <w:tcPr>
            <w:tcW w:w="3936" w:type="dxa"/>
            <w:tcBorders>
              <w:top w:val="single" w:sz="4" w:space="0" w:color="auto"/>
              <w:left w:val="single" w:sz="4" w:space="0" w:color="auto"/>
              <w:bottom w:val="single" w:sz="4" w:space="0" w:color="auto"/>
              <w:right w:val="single" w:sz="4" w:space="0" w:color="auto"/>
            </w:tcBorders>
            <w:hideMark/>
          </w:tcPr>
          <w:p w14:paraId="1AF18D18" w14:textId="77777777" w:rsidR="00D65E53" w:rsidRPr="00D65E53" w:rsidRDefault="00D65E53">
            <w:pPr>
              <w:rPr>
                <w:rFonts w:cstheme="minorHAnsi"/>
                <w:bCs/>
                <w:sz w:val="24"/>
                <w:szCs w:val="24"/>
              </w:rPr>
            </w:pPr>
            <w:r w:rsidRPr="00D65E53">
              <w:rPr>
                <w:rFonts w:cstheme="minorHAnsi"/>
                <w:bCs/>
                <w:sz w:val="24"/>
                <w:szCs w:val="24"/>
              </w:rPr>
              <w:t>Kim, YoungSik</w:t>
            </w:r>
          </w:p>
        </w:tc>
        <w:tc>
          <w:tcPr>
            <w:tcW w:w="5131" w:type="dxa"/>
            <w:tcBorders>
              <w:top w:val="single" w:sz="4" w:space="0" w:color="auto"/>
              <w:left w:val="single" w:sz="4" w:space="0" w:color="auto"/>
              <w:bottom w:val="single" w:sz="4" w:space="0" w:color="auto"/>
              <w:right w:val="single" w:sz="4" w:space="0" w:color="auto"/>
            </w:tcBorders>
            <w:hideMark/>
          </w:tcPr>
          <w:p w14:paraId="3FBE8A97" w14:textId="77777777" w:rsidR="00D65E53" w:rsidRPr="00D65E53" w:rsidRDefault="00D65E53">
            <w:pPr>
              <w:rPr>
                <w:rFonts w:cstheme="minorHAnsi"/>
                <w:bCs/>
                <w:sz w:val="24"/>
                <w:szCs w:val="24"/>
              </w:rPr>
            </w:pPr>
            <w:r w:rsidRPr="00D65E53">
              <w:rPr>
                <w:rFonts w:cstheme="minorHAnsi"/>
                <w:bCs/>
                <w:sz w:val="24"/>
                <w:szCs w:val="24"/>
              </w:rPr>
              <w:t>Expert KOICA</w:t>
            </w:r>
          </w:p>
        </w:tc>
      </w:tr>
      <w:tr w:rsidR="00D65E53" w14:paraId="1EF2BD17" w14:textId="77777777" w:rsidTr="00043D2A">
        <w:tc>
          <w:tcPr>
            <w:tcW w:w="3936" w:type="dxa"/>
            <w:tcBorders>
              <w:top w:val="single" w:sz="4" w:space="0" w:color="auto"/>
              <w:left w:val="single" w:sz="4" w:space="0" w:color="auto"/>
              <w:bottom w:val="single" w:sz="4" w:space="0" w:color="auto"/>
              <w:right w:val="single" w:sz="4" w:space="0" w:color="auto"/>
            </w:tcBorders>
            <w:hideMark/>
          </w:tcPr>
          <w:p w14:paraId="68DCD342" w14:textId="77777777" w:rsidR="00D65E53" w:rsidRPr="00D65E53" w:rsidRDefault="00D65E53">
            <w:pPr>
              <w:rPr>
                <w:rFonts w:cstheme="minorHAnsi"/>
                <w:bCs/>
                <w:sz w:val="24"/>
                <w:szCs w:val="24"/>
              </w:rPr>
            </w:pPr>
            <w:r w:rsidRPr="00D65E53">
              <w:rPr>
                <w:rFonts w:cstheme="minorHAnsi"/>
                <w:bCs/>
                <w:sz w:val="24"/>
                <w:szCs w:val="24"/>
              </w:rPr>
              <w:t>Mayssa ZERZRI</w:t>
            </w:r>
          </w:p>
        </w:tc>
        <w:tc>
          <w:tcPr>
            <w:tcW w:w="5131" w:type="dxa"/>
            <w:tcBorders>
              <w:top w:val="single" w:sz="4" w:space="0" w:color="auto"/>
              <w:left w:val="single" w:sz="4" w:space="0" w:color="auto"/>
              <w:bottom w:val="single" w:sz="4" w:space="0" w:color="auto"/>
              <w:right w:val="single" w:sz="4" w:space="0" w:color="auto"/>
            </w:tcBorders>
            <w:hideMark/>
          </w:tcPr>
          <w:p w14:paraId="7AA1742C" w14:textId="77777777" w:rsidR="00D65E53" w:rsidRPr="00D65E53" w:rsidRDefault="00D65E53">
            <w:pPr>
              <w:rPr>
                <w:rFonts w:cstheme="minorHAnsi"/>
                <w:bCs/>
                <w:sz w:val="24"/>
                <w:szCs w:val="24"/>
              </w:rPr>
            </w:pPr>
            <w:r w:rsidRPr="00D65E53">
              <w:rPr>
                <w:rFonts w:cstheme="minorHAnsi"/>
                <w:bCs/>
                <w:sz w:val="24"/>
                <w:szCs w:val="24"/>
              </w:rPr>
              <w:t>Présidence du Gouvernement</w:t>
            </w:r>
          </w:p>
        </w:tc>
      </w:tr>
      <w:tr w:rsidR="00D65E53" w14:paraId="055A94DE" w14:textId="77777777" w:rsidTr="00043D2A">
        <w:tc>
          <w:tcPr>
            <w:tcW w:w="3936" w:type="dxa"/>
            <w:tcBorders>
              <w:top w:val="single" w:sz="4" w:space="0" w:color="auto"/>
              <w:left w:val="single" w:sz="4" w:space="0" w:color="auto"/>
              <w:bottom w:val="single" w:sz="4" w:space="0" w:color="auto"/>
              <w:right w:val="single" w:sz="4" w:space="0" w:color="auto"/>
            </w:tcBorders>
            <w:hideMark/>
          </w:tcPr>
          <w:p w14:paraId="614CCDA1" w14:textId="77777777" w:rsidR="00D65E53" w:rsidRPr="00D65E53" w:rsidRDefault="00D65E53">
            <w:pPr>
              <w:rPr>
                <w:rFonts w:cstheme="minorHAnsi"/>
                <w:bCs/>
                <w:sz w:val="24"/>
                <w:szCs w:val="24"/>
              </w:rPr>
            </w:pPr>
            <w:r w:rsidRPr="00D65E53">
              <w:rPr>
                <w:rFonts w:cstheme="minorHAnsi"/>
                <w:bCs/>
                <w:sz w:val="24"/>
                <w:szCs w:val="24"/>
              </w:rPr>
              <w:t>Alaiddine Kachbouri</w:t>
            </w:r>
          </w:p>
        </w:tc>
        <w:tc>
          <w:tcPr>
            <w:tcW w:w="5131" w:type="dxa"/>
            <w:tcBorders>
              <w:top w:val="single" w:sz="4" w:space="0" w:color="auto"/>
              <w:left w:val="single" w:sz="4" w:space="0" w:color="auto"/>
              <w:bottom w:val="single" w:sz="4" w:space="0" w:color="auto"/>
              <w:right w:val="single" w:sz="4" w:space="0" w:color="auto"/>
            </w:tcBorders>
            <w:hideMark/>
          </w:tcPr>
          <w:p w14:paraId="5A79951E" w14:textId="77777777" w:rsidR="00D65E53" w:rsidRPr="00D65E53" w:rsidRDefault="00D65E53">
            <w:pPr>
              <w:rPr>
                <w:rFonts w:cstheme="minorHAnsi"/>
                <w:bCs/>
                <w:sz w:val="24"/>
                <w:szCs w:val="24"/>
              </w:rPr>
            </w:pPr>
            <w:r w:rsidRPr="00D65E53">
              <w:rPr>
                <w:rFonts w:cstheme="minorHAnsi"/>
                <w:bCs/>
                <w:sz w:val="24"/>
                <w:szCs w:val="24"/>
              </w:rPr>
              <w:t>Ministère de l’intérieur</w:t>
            </w:r>
          </w:p>
        </w:tc>
      </w:tr>
      <w:tr w:rsidR="00D65E53" w14:paraId="7CBDADC4" w14:textId="77777777" w:rsidTr="00043D2A">
        <w:tc>
          <w:tcPr>
            <w:tcW w:w="3936" w:type="dxa"/>
            <w:tcBorders>
              <w:top w:val="single" w:sz="4" w:space="0" w:color="auto"/>
              <w:left w:val="single" w:sz="4" w:space="0" w:color="auto"/>
              <w:bottom w:val="single" w:sz="4" w:space="0" w:color="auto"/>
              <w:right w:val="single" w:sz="4" w:space="0" w:color="auto"/>
            </w:tcBorders>
            <w:hideMark/>
          </w:tcPr>
          <w:p w14:paraId="7F0DAA83" w14:textId="77777777" w:rsidR="00D65E53" w:rsidRPr="00D65E53" w:rsidRDefault="00D65E53">
            <w:pPr>
              <w:rPr>
                <w:rFonts w:cstheme="minorHAnsi"/>
                <w:bCs/>
                <w:sz w:val="24"/>
                <w:szCs w:val="24"/>
              </w:rPr>
            </w:pPr>
            <w:r w:rsidRPr="00D65E53">
              <w:rPr>
                <w:rFonts w:cstheme="minorHAnsi"/>
                <w:bCs/>
                <w:sz w:val="24"/>
                <w:szCs w:val="24"/>
              </w:rPr>
              <w:t xml:space="preserve">Fethia Ouechtati </w:t>
            </w:r>
          </w:p>
        </w:tc>
        <w:tc>
          <w:tcPr>
            <w:tcW w:w="5131" w:type="dxa"/>
            <w:tcBorders>
              <w:top w:val="single" w:sz="4" w:space="0" w:color="auto"/>
              <w:left w:val="single" w:sz="4" w:space="0" w:color="auto"/>
              <w:bottom w:val="single" w:sz="4" w:space="0" w:color="auto"/>
              <w:right w:val="single" w:sz="4" w:space="0" w:color="auto"/>
            </w:tcBorders>
            <w:hideMark/>
          </w:tcPr>
          <w:p w14:paraId="4A5367B0" w14:textId="77777777" w:rsidR="00D65E53" w:rsidRPr="00D65E53" w:rsidRDefault="00D65E53">
            <w:pPr>
              <w:rPr>
                <w:rFonts w:cstheme="minorHAnsi"/>
                <w:bCs/>
                <w:sz w:val="24"/>
                <w:szCs w:val="24"/>
              </w:rPr>
            </w:pPr>
            <w:r w:rsidRPr="00D65E53">
              <w:rPr>
                <w:rFonts w:cstheme="minorHAnsi"/>
                <w:bCs/>
                <w:sz w:val="24"/>
                <w:szCs w:val="24"/>
              </w:rPr>
              <w:t>Institut National de la Statistique</w:t>
            </w:r>
          </w:p>
        </w:tc>
      </w:tr>
      <w:tr w:rsidR="00D65E53" w14:paraId="1E6D4390" w14:textId="77777777" w:rsidTr="00043D2A">
        <w:tc>
          <w:tcPr>
            <w:tcW w:w="3936" w:type="dxa"/>
            <w:tcBorders>
              <w:top w:val="single" w:sz="4" w:space="0" w:color="auto"/>
              <w:left w:val="single" w:sz="4" w:space="0" w:color="auto"/>
              <w:bottom w:val="single" w:sz="4" w:space="0" w:color="auto"/>
              <w:right w:val="single" w:sz="4" w:space="0" w:color="auto"/>
            </w:tcBorders>
            <w:hideMark/>
          </w:tcPr>
          <w:p w14:paraId="13C02873" w14:textId="77777777" w:rsidR="00D65E53" w:rsidRPr="00D65E53" w:rsidRDefault="00D65E53">
            <w:pPr>
              <w:rPr>
                <w:rFonts w:cstheme="minorHAnsi"/>
                <w:bCs/>
                <w:sz w:val="24"/>
                <w:szCs w:val="24"/>
              </w:rPr>
            </w:pPr>
            <w:r w:rsidRPr="00D65E53">
              <w:rPr>
                <w:rFonts w:cstheme="minorHAnsi"/>
                <w:bCs/>
                <w:sz w:val="24"/>
                <w:szCs w:val="24"/>
              </w:rPr>
              <w:t>Kamel Abdellaoui</w:t>
            </w:r>
          </w:p>
        </w:tc>
        <w:tc>
          <w:tcPr>
            <w:tcW w:w="5131" w:type="dxa"/>
            <w:tcBorders>
              <w:top w:val="single" w:sz="4" w:space="0" w:color="auto"/>
              <w:left w:val="single" w:sz="4" w:space="0" w:color="auto"/>
              <w:bottom w:val="single" w:sz="4" w:space="0" w:color="auto"/>
              <w:right w:val="single" w:sz="4" w:space="0" w:color="auto"/>
            </w:tcBorders>
            <w:hideMark/>
          </w:tcPr>
          <w:p w14:paraId="4DDC7B26" w14:textId="77777777" w:rsidR="00D65E53" w:rsidRPr="00D65E53" w:rsidRDefault="00D65E53">
            <w:pPr>
              <w:rPr>
                <w:rFonts w:cstheme="minorHAnsi"/>
                <w:bCs/>
                <w:sz w:val="24"/>
                <w:szCs w:val="24"/>
              </w:rPr>
            </w:pPr>
            <w:r w:rsidRPr="00D65E53">
              <w:rPr>
                <w:rFonts w:cstheme="minorHAnsi"/>
                <w:bCs/>
                <w:sz w:val="24"/>
                <w:szCs w:val="24"/>
              </w:rPr>
              <w:t>Institut National de la Statistique</w:t>
            </w:r>
          </w:p>
        </w:tc>
      </w:tr>
      <w:tr w:rsidR="00D65E53" w14:paraId="5E9890F3" w14:textId="77777777" w:rsidTr="00043D2A">
        <w:tc>
          <w:tcPr>
            <w:tcW w:w="3936" w:type="dxa"/>
            <w:tcBorders>
              <w:top w:val="single" w:sz="4" w:space="0" w:color="auto"/>
              <w:left w:val="single" w:sz="4" w:space="0" w:color="auto"/>
              <w:bottom w:val="single" w:sz="4" w:space="0" w:color="auto"/>
              <w:right w:val="single" w:sz="4" w:space="0" w:color="auto"/>
            </w:tcBorders>
            <w:hideMark/>
          </w:tcPr>
          <w:p w14:paraId="60C5AE39" w14:textId="77777777" w:rsidR="00D65E53" w:rsidRPr="00D65E53" w:rsidRDefault="00D65E53">
            <w:pPr>
              <w:rPr>
                <w:rFonts w:cstheme="minorHAnsi"/>
                <w:bCs/>
                <w:sz w:val="24"/>
                <w:szCs w:val="24"/>
              </w:rPr>
            </w:pPr>
            <w:r w:rsidRPr="00D65E53">
              <w:rPr>
                <w:rFonts w:cstheme="minorHAnsi"/>
                <w:bCs/>
                <w:sz w:val="24"/>
                <w:szCs w:val="24"/>
              </w:rPr>
              <w:t>Hinda Boulabiar</w:t>
            </w:r>
          </w:p>
        </w:tc>
        <w:tc>
          <w:tcPr>
            <w:tcW w:w="5131" w:type="dxa"/>
            <w:tcBorders>
              <w:top w:val="single" w:sz="4" w:space="0" w:color="auto"/>
              <w:left w:val="single" w:sz="4" w:space="0" w:color="auto"/>
              <w:bottom w:val="single" w:sz="4" w:space="0" w:color="auto"/>
              <w:right w:val="single" w:sz="4" w:space="0" w:color="auto"/>
            </w:tcBorders>
            <w:hideMark/>
          </w:tcPr>
          <w:p w14:paraId="1AB9A26B" w14:textId="77777777" w:rsidR="00D65E53" w:rsidRPr="00D65E53" w:rsidRDefault="00D65E53">
            <w:pPr>
              <w:rPr>
                <w:rFonts w:cstheme="minorHAnsi"/>
                <w:bCs/>
                <w:sz w:val="24"/>
                <w:szCs w:val="24"/>
              </w:rPr>
            </w:pPr>
            <w:r w:rsidRPr="00D65E53">
              <w:rPr>
                <w:rFonts w:cstheme="minorHAnsi"/>
                <w:bCs/>
                <w:sz w:val="24"/>
                <w:szCs w:val="24"/>
              </w:rPr>
              <w:t>Ministère de développement, de l’investissement et de la coopération internationale</w:t>
            </w:r>
          </w:p>
        </w:tc>
      </w:tr>
      <w:tr w:rsidR="00D65E53" w14:paraId="0E8224BE" w14:textId="77777777" w:rsidTr="00043D2A">
        <w:tc>
          <w:tcPr>
            <w:tcW w:w="3936" w:type="dxa"/>
            <w:tcBorders>
              <w:top w:val="single" w:sz="4" w:space="0" w:color="auto"/>
              <w:left w:val="single" w:sz="4" w:space="0" w:color="auto"/>
              <w:bottom w:val="single" w:sz="4" w:space="0" w:color="auto"/>
              <w:right w:val="single" w:sz="4" w:space="0" w:color="auto"/>
            </w:tcBorders>
            <w:hideMark/>
          </w:tcPr>
          <w:p w14:paraId="1DFDAF51" w14:textId="77777777" w:rsidR="00D65E53" w:rsidRPr="00D65E53" w:rsidRDefault="00D65E53">
            <w:pPr>
              <w:rPr>
                <w:rFonts w:cstheme="minorHAnsi"/>
                <w:bCs/>
                <w:sz w:val="24"/>
                <w:szCs w:val="24"/>
              </w:rPr>
            </w:pPr>
            <w:r w:rsidRPr="00D65E53">
              <w:rPr>
                <w:rFonts w:cstheme="minorHAnsi"/>
                <w:bCs/>
                <w:sz w:val="24"/>
                <w:szCs w:val="24"/>
              </w:rPr>
              <w:t>Ahmed shaiek</w:t>
            </w:r>
          </w:p>
        </w:tc>
        <w:tc>
          <w:tcPr>
            <w:tcW w:w="5131" w:type="dxa"/>
            <w:tcBorders>
              <w:top w:val="single" w:sz="4" w:space="0" w:color="auto"/>
              <w:left w:val="single" w:sz="4" w:space="0" w:color="auto"/>
              <w:bottom w:val="single" w:sz="4" w:space="0" w:color="auto"/>
              <w:right w:val="single" w:sz="4" w:space="0" w:color="auto"/>
            </w:tcBorders>
            <w:hideMark/>
          </w:tcPr>
          <w:p w14:paraId="283B85A0" w14:textId="77777777" w:rsidR="00D65E53" w:rsidRPr="00D65E53" w:rsidRDefault="00D65E53">
            <w:pPr>
              <w:rPr>
                <w:rFonts w:cstheme="minorHAnsi"/>
                <w:bCs/>
                <w:sz w:val="24"/>
                <w:szCs w:val="24"/>
              </w:rPr>
            </w:pPr>
            <w:r w:rsidRPr="00D65E53">
              <w:rPr>
                <w:rFonts w:cstheme="minorHAnsi"/>
                <w:bCs/>
                <w:sz w:val="24"/>
                <w:szCs w:val="24"/>
              </w:rPr>
              <w:t>Ministère de développement, de l’investissement et de la coopération internationale</w:t>
            </w:r>
          </w:p>
        </w:tc>
      </w:tr>
      <w:tr w:rsidR="00D65E53" w14:paraId="4D48FBD1" w14:textId="77777777" w:rsidTr="00043D2A">
        <w:tc>
          <w:tcPr>
            <w:tcW w:w="3936" w:type="dxa"/>
            <w:tcBorders>
              <w:top w:val="single" w:sz="4" w:space="0" w:color="auto"/>
              <w:left w:val="single" w:sz="4" w:space="0" w:color="auto"/>
              <w:bottom w:val="single" w:sz="4" w:space="0" w:color="auto"/>
              <w:right w:val="single" w:sz="4" w:space="0" w:color="auto"/>
            </w:tcBorders>
            <w:hideMark/>
          </w:tcPr>
          <w:p w14:paraId="31C849CB" w14:textId="77777777" w:rsidR="00D65E53" w:rsidRPr="00D65E53" w:rsidRDefault="00D65E53">
            <w:pPr>
              <w:rPr>
                <w:rFonts w:cstheme="minorHAnsi"/>
                <w:bCs/>
                <w:sz w:val="24"/>
                <w:szCs w:val="24"/>
              </w:rPr>
            </w:pPr>
            <w:r w:rsidRPr="00D65E53">
              <w:rPr>
                <w:rFonts w:cstheme="minorHAnsi"/>
                <w:bCs/>
                <w:sz w:val="24"/>
                <w:szCs w:val="24"/>
              </w:rPr>
              <w:t>Mohsen Dhaouafi</w:t>
            </w:r>
          </w:p>
        </w:tc>
        <w:tc>
          <w:tcPr>
            <w:tcW w:w="5131" w:type="dxa"/>
            <w:tcBorders>
              <w:top w:val="single" w:sz="4" w:space="0" w:color="auto"/>
              <w:left w:val="single" w:sz="4" w:space="0" w:color="auto"/>
              <w:bottom w:val="single" w:sz="4" w:space="0" w:color="auto"/>
              <w:right w:val="single" w:sz="4" w:space="0" w:color="auto"/>
            </w:tcBorders>
            <w:hideMark/>
          </w:tcPr>
          <w:p w14:paraId="6BC3B022" w14:textId="77777777" w:rsidR="00D65E53" w:rsidRPr="00D65E53" w:rsidRDefault="00D65E53">
            <w:pPr>
              <w:rPr>
                <w:rFonts w:cstheme="minorHAnsi"/>
                <w:sz w:val="24"/>
                <w:szCs w:val="24"/>
              </w:rPr>
            </w:pPr>
            <w:r w:rsidRPr="00D65E53">
              <w:rPr>
                <w:rFonts w:cstheme="minorHAnsi"/>
                <w:bCs/>
                <w:sz w:val="24"/>
                <w:szCs w:val="24"/>
              </w:rPr>
              <w:t>Ministère de développement, de l’investissement et de la coopération internationale</w:t>
            </w:r>
          </w:p>
        </w:tc>
      </w:tr>
      <w:tr w:rsidR="00D65E53" w14:paraId="59EC7DCB" w14:textId="77777777" w:rsidTr="00043D2A">
        <w:tc>
          <w:tcPr>
            <w:tcW w:w="3936" w:type="dxa"/>
            <w:tcBorders>
              <w:top w:val="single" w:sz="4" w:space="0" w:color="auto"/>
              <w:left w:val="single" w:sz="4" w:space="0" w:color="auto"/>
              <w:bottom w:val="single" w:sz="4" w:space="0" w:color="auto"/>
              <w:right w:val="single" w:sz="4" w:space="0" w:color="auto"/>
            </w:tcBorders>
            <w:hideMark/>
          </w:tcPr>
          <w:p w14:paraId="03F15752" w14:textId="77777777" w:rsidR="00D65E53" w:rsidRPr="00D65E53" w:rsidRDefault="00D65E53">
            <w:pPr>
              <w:rPr>
                <w:rFonts w:cstheme="minorHAnsi"/>
                <w:bCs/>
                <w:sz w:val="24"/>
                <w:szCs w:val="24"/>
              </w:rPr>
            </w:pPr>
            <w:r w:rsidRPr="00D65E53">
              <w:rPr>
                <w:rFonts w:cstheme="minorHAnsi"/>
                <w:bCs/>
                <w:sz w:val="24"/>
                <w:szCs w:val="24"/>
              </w:rPr>
              <w:t xml:space="preserve">Saloua Abdel Khalak </w:t>
            </w:r>
          </w:p>
        </w:tc>
        <w:tc>
          <w:tcPr>
            <w:tcW w:w="5131" w:type="dxa"/>
            <w:tcBorders>
              <w:top w:val="single" w:sz="4" w:space="0" w:color="auto"/>
              <w:left w:val="single" w:sz="4" w:space="0" w:color="auto"/>
              <w:bottom w:val="single" w:sz="4" w:space="0" w:color="auto"/>
              <w:right w:val="single" w:sz="4" w:space="0" w:color="auto"/>
            </w:tcBorders>
            <w:hideMark/>
          </w:tcPr>
          <w:p w14:paraId="5CAFA8D3" w14:textId="77777777" w:rsidR="00D65E53" w:rsidRPr="00D65E53" w:rsidRDefault="00D65E53">
            <w:pPr>
              <w:rPr>
                <w:rFonts w:cstheme="minorHAnsi"/>
                <w:bCs/>
                <w:sz w:val="24"/>
                <w:szCs w:val="24"/>
              </w:rPr>
            </w:pPr>
            <w:r w:rsidRPr="00D65E53">
              <w:rPr>
                <w:rFonts w:cstheme="minorHAnsi"/>
                <w:bCs/>
                <w:sz w:val="24"/>
                <w:szCs w:val="24"/>
              </w:rPr>
              <w:t>Ministère des affaires culturelles</w:t>
            </w:r>
          </w:p>
        </w:tc>
      </w:tr>
      <w:tr w:rsidR="00D65E53" w14:paraId="354CE6C3" w14:textId="77777777" w:rsidTr="00043D2A">
        <w:tc>
          <w:tcPr>
            <w:tcW w:w="3936" w:type="dxa"/>
            <w:tcBorders>
              <w:top w:val="single" w:sz="4" w:space="0" w:color="auto"/>
              <w:left w:val="single" w:sz="4" w:space="0" w:color="auto"/>
              <w:bottom w:val="single" w:sz="4" w:space="0" w:color="auto"/>
              <w:right w:val="single" w:sz="4" w:space="0" w:color="auto"/>
            </w:tcBorders>
            <w:hideMark/>
          </w:tcPr>
          <w:p w14:paraId="60A2B819" w14:textId="77777777" w:rsidR="00D65E53" w:rsidRPr="00D65E53" w:rsidRDefault="00D65E53">
            <w:pPr>
              <w:rPr>
                <w:rFonts w:cstheme="minorHAnsi"/>
                <w:bCs/>
                <w:sz w:val="24"/>
                <w:szCs w:val="24"/>
              </w:rPr>
            </w:pPr>
            <w:r w:rsidRPr="00D65E53">
              <w:rPr>
                <w:rFonts w:cstheme="minorHAnsi"/>
                <w:bCs/>
                <w:sz w:val="24"/>
                <w:szCs w:val="24"/>
              </w:rPr>
              <w:t>Ali Ben Hamouda</w:t>
            </w:r>
          </w:p>
        </w:tc>
        <w:tc>
          <w:tcPr>
            <w:tcW w:w="5131" w:type="dxa"/>
            <w:tcBorders>
              <w:top w:val="single" w:sz="4" w:space="0" w:color="auto"/>
              <w:left w:val="single" w:sz="4" w:space="0" w:color="auto"/>
              <w:bottom w:val="single" w:sz="4" w:space="0" w:color="auto"/>
              <w:right w:val="single" w:sz="4" w:space="0" w:color="auto"/>
            </w:tcBorders>
            <w:hideMark/>
          </w:tcPr>
          <w:p w14:paraId="5D7D91BD" w14:textId="77777777" w:rsidR="00D65E53" w:rsidRPr="00D65E53" w:rsidRDefault="00D65E53">
            <w:pPr>
              <w:rPr>
                <w:rFonts w:cstheme="minorHAnsi"/>
                <w:bCs/>
                <w:sz w:val="24"/>
                <w:szCs w:val="24"/>
              </w:rPr>
            </w:pPr>
            <w:r w:rsidRPr="00D65E53">
              <w:rPr>
                <w:rFonts w:cstheme="minorHAnsi"/>
                <w:bCs/>
                <w:sz w:val="24"/>
                <w:szCs w:val="24"/>
              </w:rPr>
              <w:t>Ministère du Transport</w:t>
            </w:r>
          </w:p>
        </w:tc>
      </w:tr>
      <w:tr w:rsidR="00D65E53" w14:paraId="76DCEEFD" w14:textId="77777777" w:rsidTr="00043D2A">
        <w:tc>
          <w:tcPr>
            <w:tcW w:w="3936" w:type="dxa"/>
            <w:tcBorders>
              <w:top w:val="single" w:sz="4" w:space="0" w:color="auto"/>
              <w:left w:val="single" w:sz="4" w:space="0" w:color="auto"/>
              <w:bottom w:val="single" w:sz="4" w:space="0" w:color="auto"/>
              <w:right w:val="single" w:sz="4" w:space="0" w:color="auto"/>
            </w:tcBorders>
            <w:hideMark/>
          </w:tcPr>
          <w:p w14:paraId="623D9E48" w14:textId="77777777" w:rsidR="00D65E53" w:rsidRPr="00D65E53" w:rsidRDefault="00D65E53">
            <w:pPr>
              <w:rPr>
                <w:rFonts w:cstheme="minorHAnsi"/>
                <w:bCs/>
                <w:sz w:val="24"/>
                <w:szCs w:val="24"/>
              </w:rPr>
            </w:pPr>
            <w:r w:rsidRPr="00D65E53">
              <w:rPr>
                <w:rFonts w:cstheme="minorHAnsi"/>
                <w:bCs/>
                <w:sz w:val="24"/>
                <w:szCs w:val="24"/>
              </w:rPr>
              <w:t>Meriem Echy</w:t>
            </w:r>
          </w:p>
        </w:tc>
        <w:tc>
          <w:tcPr>
            <w:tcW w:w="5131" w:type="dxa"/>
            <w:tcBorders>
              <w:top w:val="single" w:sz="4" w:space="0" w:color="auto"/>
              <w:left w:val="single" w:sz="4" w:space="0" w:color="auto"/>
              <w:bottom w:val="single" w:sz="4" w:space="0" w:color="auto"/>
              <w:right w:val="single" w:sz="4" w:space="0" w:color="auto"/>
            </w:tcBorders>
            <w:hideMark/>
          </w:tcPr>
          <w:p w14:paraId="70EE0905" w14:textId="77777777" w:rsidR="00D65E53" w:rsidRPr="00D65E53" w:rsidRDefault="00D65E53">
            <w:pPr>
              <w:rPr>
                <w:rFonts w:cstheme="minorHAnsi"/>
                <w:bCs/>
                <w:sz w:val="24"/>
                <w:szCs w:val="24"/>
              </w:rPr>
            </w:pPr>
            <w:r w:rsidRPr="00D65E53">
              <w:rPr>
                <w:rFonts w:cstheme="minorHAnsi"/>
                <w:bCs/>
                <w:sz w:val="24"/>
                <w:szCs w:val="24"/>
              </w:rPr>
              <w:t>Ministère des affaires locales et de l’environnement</w:t>
            </w:r>
          </w:p>
        </w:tc>
      </w:tr>
      <w:tr w:rsidR="00D65E53" w14:paraId="582E6AD8" w14:textId="77777777" w:rsidTr="00043D2A">
        <w:tc>
          <w:tcPr>
            <w:tcW w:w="3936" w:type="dxa"/>
            <w:tcBorders>
              <w:top w:val="single" w:sz="4" w:space="0" w:color="auto"/>
              <w:left w:val="single" w:sz="4" w:space="0" w:color="auto"/>
              <w:bottom w:val="single" w:sz="4" w:space="0" w:color="auto"/>
              <w:right w:val="single" w:sz="4" w:space="0" w:color="auto"/>
            </w:tcBorders>
            <w:hideMark/>
          </w:tcPr>
          <w:p w14:paraId="14C94897" w14:textId="77777777" w:rsidR="00D65E53" w:rsidRPr="00D65E53" w:rsidRDefault="00D65E53">
            <w:pPr>
              <w:rPr>
                <w:rFonts w:cstheme="minorHAnsi"/>
                <w:bCs/>
                <w:sz w:val="24"/>
                <w:szCs w:val="24"/>
              </w:rPr>
            </w:pPr>
            <w:r w:rsidRPr="00D65E53">
              <w:rPr>
                <w:rFonts w:cstheme="minorHAnsi"/>
                <w:bCs/>
                <w:sz w:val="24"/>
                <w:szCs w:val="24"/>
              </w:rPr>
              <w:t>Wiem Ben Abderrazek</w:t>
            </w:r>
          </w:p>
        </w:tc>
        <w:tc>
          <w:tcPr>
            <w:tcW w:w="5131" w:type="dxa"/>
            <w:tcBorders>
              <w:top w:val="single" w:sz="4" w:space="0" w:color="auto"/>
              <w:left w:val="single" w:sz="4" w:space="0" w:color="auto"/>
              <w:bottom w:val="single" w:sz="4" w:space="0" w:color="auto"/>
              <w:right w:val="single" w:sz="4" w:space="0" w:color="auto"/>
            </w:tcBorders>
            <w:hideMark/>
          </w:tcPr>
          <w:p w14:paraId="08F272E5" w14:textId="77777777" w:rsidR="00D65E53" w:rsidRPr="00D65E53" w:rsidRDefault="00D65E53">
            <w:pPr>
              <w:rPr>
                <w:rFonts w:cstheme="minorHAnsi"/>
                <w:bCs/>
                <w:sz w:val="24"/>
                <w:szCs w:val="24"/>
              </w:rPr>
            </w:pPr>
            <w:r w:rsidRPr="00D65E53">
              <w:rPr>
                <w:rFonts w:cstheme="minorHAnsi"/>
                <w:bCs/>
                <w:sz w:val="24"/>
                <w:szCs w:val="24"/>
              </w:rPr>
              <w:t>Ministère de l’Equipement, l’habitat et l’aménagement du territoire</w:t>
            </w:r>
          </w:p>
        </w:tc>
      </w:tr>
      <w:tr w:rsidR="00D65E53" w14:paraId="68480299" w14:textId="77777777" w:rsidTr="00043D2A">
        <w:tc>
          <w:tcPr>
            <w:tcW w:w="3936" w:type="dxa"/>
            <w:tcBorders>
              <w:top w:val="single" w:sz="4" w:space="0" w:color="auto"/>
              <w:left w:val="single" w:sz="4" w:space="0" w:color="auto"/>
              <w:bottom w:val="single" w:sz="4" w:space="0" w:color="auto"/>
              <w:right w:val="single" w:sz="4" w:space="0" w:color="auto"/>
            </w:tcBorders>
            <w:hideMark/>
          </w:tcPr>
          <w:p w14:paraId="07C5CE64" w14:textId="77777777" w:rsidR="00D65E53" w:rsidRPr="00D65E53" w:rsidRDefault="00D65E53">
            <w:pPr>
              <w:rPr>
                <w:rFonts w:cstheme="minorHAnsi"/>
                <w:bCs/>
                <w:sz w:val="24"/>
                <w:szCs w:val="24"/>
              </w:rPr>
            </w:pPr>
            <w:r w:rsidRPr="00D65E53">
              <w:rPr>
                <w:rFonts w:cstheme="minorHAnsi"/>
                <w:bCs/>
                <w:sz w:val="24"/>
                <w:szCs w:val="24"/>
              </w:rPr>
              <w:t>Eliès Chelbi</w:t>
            </w:r>
          </w:p>
        </w:tc>
        <w:tc>
          <w:tcPr>
            <w:tcW w:w="5131" w:type="dxa"/>
            <w:tcBorders>
              <w:top w:val="single" w:sz="4" w:space="0" w:color="auto"/>
              <w:left w:val="single" w:sz="4" w:space="0" w:color="auto"/>
              <w:bottom w:val="single" w:sz="4" w:space="0" w:color="auto"/>
              <w:right w:val="single" w:sz="4" w:space="0" w:color="auto"/>
            </w:tcBorders>
            <w:hideMark/>
          </w:tcPr>
          <w:p w14:paraId="4A8B97B6" w14:textId="77777777" w:rsidR="00D65E53" w:rsidRPr="00D65E53" w:rsidRDefault="00D65E53">
            <w:pPr>
              <w:rPr>
                <w:rFonts w:cstheme="minorHAnsi"/>
                <w:bCs/>
                <w:sz w:val="24"/>
                <w:szCs w:val="24"/>
              </w:rPr>
            </w:pPr>
            <w:r w:rsidRPr="00D65E53">
              <w:rPr>
                <w:rFonts w:cstheme="minorHAnsi"/>
                <w:bCs/>
                <w:sz w:val="24"/>
                <w:szCs w:val="24"/>
              </w:rPr>
              <w:t>Ministère de l’Equipement, l’habitat et l’aménagement du territoire</w:t>
            </w:r>
          </w:p>
        </w:tc>
      </w:tr>
      <w:tr w:rsidR="00D65E53" w14:paraId="3FFB7F11" w14:textId="77777777" w:rsidTr="00043D2A">
        <w:tc>
          <w:tcPr>
            <w:tcW w:w="3936" w:type="dxa"/>
            <w:tcBorders>
              <w:top w:val="single" w:sz="4" w:space="0" w:color="auto"/>
              <w:left w:val="single" w:sz="4" w:space="0" w:color="auto"/>
              <w:bottom w:val="single" w:sz="4" w:space="0" w:color="auto"/>
              <w:right w:val="single" w:sz="4" w:space="0" w:color="auto"/>
            </w:tcBorders>
            <w:hideMark/>
          </w:tcPr>
          <w:p w14:paraId="2D988D7C" w14:textId="77777777" w:rsidR="00D65E53" w:rsidRPr="00D65E53" w:rsidRDefault="00D65E53">
            <w:pPr>
              <w:rPr>
                <w:rFonts w:cstheme="minorHAnsi"/>
                <w:bCs/>
                <w:sz w:val="24"/>
                <w:szCs w:val="24"/>
              </w:rPr>
            </w:pPr>
            <w:r w:rsidRPr="00D65E53">
              <w:rPr>
                <w:rFonts w:cstheme="minorHAnsi"/>
                <w:bCs/>
                <w:sz w:val="24"/>
                <w:szCs w:val="24"/>
              </w:rPr>
              <w:t>Hakima Harbaoui</w:t>
            </w:r>
          </w:p>
        </w:tc>
        <w:tc>
          <w:tcPr>
            <w:tcW w:w="5131" w:type="dxa"/>
            <w:tcBorders>
              <w:top w:val="single" w:sz="4" w:space="0" w:color="auto"/>
              <w:left w:val="single" w:sz="4" w:space="0" w:color="auto"/>
              <w:bottom w:val="single" w:sz="4" w:space="0" w:color="auto"/>
              <w:right w:val="single" w:sz="4" w:space="0" w:color="auto"/>
            </w:tcBorders>
            <w:hideMark/>
          </w:tcPr>
          <w:p w14:paraId="5078A916" w14:textId="77777777" w:rsidR="00D65E53" w:rsidRPr="00D65E53" w:rsidRDefault="00D65E53">
            <w:pPr>
              <w:rPr>
                <w:rFonts w:cstheme="minorHAnsi"/>
                <w:bCs/>
                <w:sz w:val="24"/>
                <w:szCs w:val="24"/>
              </w:rPr>
            </w:pPr>
            <w:r w:rsidRPr="00D65E53">
              <w:rPr>
                <w:rFonts w:cstheme="minorHAnsi"/>
                <w:bCs/>
                <w:sz w:val="24"/>
                <w:szCs w:val="24"/>
              </w:rPr>
              <w:t xml:space="preserve">Ministère des affaires religieuses </w:t>
            </w:r>
          </w:p>
        </w:tc>
      </w:tr>
      <w:tr w:rsidR="00D65E53" w14:paraId="7E4F29EC" w14:textId="77777777" w:rsidTr="00043D2A">
        <w:tc>
          <w:tcPr>
            <w:tcW w:w="3936" w:type="dxa"/>
            <w:tcBorders>
              <w:top w:val="single" w:sz="4" w:space="0" w:color="auto"/>
              <w:left w:val="single" w:sz="4" w:space="0" w:color="auto"/>
              <w:bottom w:val="single" w:sz="4" w:space="0" w:color="auto"/>
              <w:right w:val="single" w:sz="4" w:space="0" w:color="auto"/>
            </w:tcBorders>
            <w:hideMark/>
          </w:tcPr>
          <w:p w14:paraId="2E46935B" w14:textId="77777777" w:rsidR="00D65E53" w:rsidRPr="00D65E53" w:rsidRDefault="00D65E53">
            <w:pPr>
              <w:rPr>
                <w:rFonts w:cstheme="minorHAnsi"/>
                <w:bCs/>
                <w:sz w:val="24"/>
                <w:szCs w:val="24"/>
              </w:rPr>
            </w:pPr>
            <w:r w:rsidRPr="00D65E53">
              <w:rPr>
                <w:rFonts w:cstheme="minorHAnsi"/>
                <w:bCs/>
                <w:sz w:val="24"/>
                <w:szCs w:val="24"/>
              </w:rPr>
              <w:t>Sebti Aicha</w:t>
            </w:r>
          </w:p>
        </w:tc>
        <w:tc>
          <w:tcPr>
            <w:tcW w:w="5131" w:type="dxa"/>
            <w:tcBorders>
              <w:top w:val="single" w:sz="4" w:space="0" w:color="auto"/>
              <w:left w:val="single" w:sz="4" w:space="0" w:color="auto"/>
              <w:bottom w:val="single" w:sz="4" w:space="0" w:color="auto"/>
              <w:right w:val="single" w:sz="4" w:space="0" w:color="auto"/>
            </w:tcBorders>
            <w:hideMark/>
          </w:tcPr>
          <w:p w14:paraId="648FDE47" w14:textId="77777777" w:rsidR="00D65E53" w:rsidRPr="00D65E53" w:rsidRDefault="00D65E53">
            <w:pPr>
              <w:rPr>
                <w:rFonts w:cstheme="minorHAnsi"/>
                <w:sz w:val="24"/>
                <w:szCs w:val="24"/>
              </w:rPr>
            </w:pPr>
            <w:r w:rsidRPr="00D65E53">
              <w:rPr>
                <w:rFonts w:cstheme="minorHAnsi"/>
                <w:bCs/>
                <w:sz w:val="24"/>
                <w:szCs w:val="24"/>
              </w:rPr>
              <w:t xml:space="preserve">Ministère des affaires religieuses </w:t>
            </w:r>
          </w:p>
        </w:tc>
      </w:tr>
      <w:tr w:rsidR="00D65E53" w14:paraId="2D258E8A" w14:textId="77777777" w:rsidTr="00043D2A">
        <w:tc>
          <w:tcPr>
            <w:tcW w:w="3936" w:type="dxa"/>
            <w:tcBorders>
              <w:top w:val="single" w:sz="4" w:space="0" w:color="auto"/>
              <w:left w:val="single" w:sz="4" w:space="0" w:color="auto"/>
              <w:bottom w:val="single" w:sz="4" w:space="0" w:color="auto"/>
              <w:right w:val="single" w:sz="4" w:space="0" w:color="auto"/>
            </w:tcBorders>
            <w:hideMark/>
          </w:tcPr>
          <w:p w14:paraId="3E0844A9" w14:textId="77777777" w:rsidR="00D65E53" w:rsidRPr="00D65E53" w:rsidRDefault="00D65E53">
            <w:pPr>
              <w:rPr>
                <w:rFonts w:cstheme="minorHAnsi"/>
                <w:bCs/>
                <w:sz w:val="24"/>
                <w:szCs w:val="24"/>
              </w:rPr>
            </w:pPr>
            <w:r w:rsidRPr="00D65E53">
              <w:rPr>
                <w:rFonts w:cstheme="minorHAnsi"/>
                <w:bCs/>
                <w:sz w:val="24"/>
                <w:szCs w:val="24"/>
              </w:rPr>
              <w:t>Nabil Ben Ahmed</w:t>
            </w:r>
          </w:p>
        </w:tc>
        <w:tc>
          <w:tcPr>
            <w:tcW w:w="5131" w:type="dxa"/>
            <w:tcBorders>
              <w:top w:val="single" w:sz="4" w:space="0" w:color="auto"/>
              <w:left w:val="single" w:sz="4" w:space="0" w:color="auto"/>
              <w:bottom w:val="single" w:sz="4" w:space="0" w:color="auto"/>
              <w:right w:val="single" w:sz="4" w:space="0" w:color="auto"/>
            </w:tcBorders>
            <w:hideMark/>
          </w:tcPr>
          <w:p w14:paraId="5E3EE008" w14:textId="77777777" w:rsidR="00D65E53" w:rsidRPr="00D65E53" w:rsidRDefault="00D65E53">
            <w:pPr>
              <w:rPr>
                <w:rFonts w:cstheme="minorHAnsi"/>
                <w:sz w:val="24"/>
                <w:szCs w:val="24"/>
              </w:rPr>
            </w:pPr>
            <w:r w:rsidRPr="00D65E53">
              <w:rPr>
                <w:rFonts w:cstheme="minorHAnsi"/>
                <w:bCs/>
                <w:sz w:val="24"/>
                <w:szCs w:val="24"/>
              </w:rPr>
              <w:t xml:space="preserve">Ministère des affaires religieuses </w:t>
            </w:r>
          </w:p>
        </w:tc>
      </w:tr>
      <w:tr w:rsidR="00D65E53" w14:paraId="59BBDEC7" w14:textId="77777777" w:rsidTr="00043D2A">
        <w:tc>
          <w:tcPr>
            <w:tcW w:w="3936" w:type="dxa"/>
            <w:tcBorders>
              <w:top w:val="single" w:sz="4" w:space="0" w:color="auto"/>
              <w:left w:val="single" w:sz="4" w:space="0" w:color="auto"/>
              <w:bottom w:val="single" w:sz="4" w:space="0" w:color="auto"/>
              <w:right w:val="single" w:sz="4" w:space="0" w:color="auto"/>
            </w:tcBorders>
            <w:hideMark/>
          </w:tcPr>
          <w:p w14:paraId="14DA12BC" w14:textId="77777777" w:rsidR="00D65E53" w:rsidRPr="00D65E53" w:rsidRDefault="00D65E53">
            <w:pPr>
              <w:rPr>
                <w:rFonts w:cstheme="minorHAnsi"/>
                <w:bCs/>
                <w:sz w:val="24"/>
                <w:szCs w:val="24"/>
              </w:rPr>
            </w:pPr>
            <w:r w:rsidRPr="00D65E53">
              <w:rPr>
                <w:rFonts w:cstheme="minorHAnsi"/>
                <w:bCs/>
                <w:sz w:val="24"/>
                <w:szCs w:val="24"/>
              </w:rPr>
              <w:t>Anis Ben Arfa</w:t>
            </w:r>
          </w:p>
        </w:tc>
        <w:tc>
          <w:tcPr>
            <w:tcW w:w="5131" w:type="dxa"/>
            <w:tcBorders>
              <w:top w:val="single" w:sz="4" w:space="0" w:color="auto"/>
              <w:left w:val="single" w:sz="4" w:space="0" w:color="auto"/>
              <w:bottom w:val="single" w:sz="4" w:space="0" w:color="auto"/>
              <w:right w:val="single" w:sz="4" w:space="0" w:color="auto"/>
            </w:tcBorders>
            <w:hideMark/>
          </w:tcPr>
          <w:p w14:paraId="0D0D7E88" w14:textId="77777777" w:rsidR="00D65E53" w:rsidRPr="00D65E53" w:rsidRDefault="00D65E53">
            <w:pPr>
              <w:rPr>
                <w:rFonts w:cstheme="minorHAnsi"/>
                <w:sz w:val="24"/>
                <w:szCs w:val="24"/>
              </w:rPr>
            </w:pPr>
            <w:r w:rsidRPr="00D65E53">
              <w:rPr>
                <w:rFonts w:cstheme="minorHAnsi"/>
                <w:bCs/>
                <w:sz w:val="24"/>
                <w:szCs w:val="24"/>
              </w:rPr>
              <w:t xml:space="preserve">Ministère des affaires religieuses </w:t>
            </w:r>
          </w:p>
        </w:tc>
      </w:tr>
      <w:tr w:rsidR="00D65E53" w14:paraId="4DAEAE65" w14:textId="77777777" w:rsidTr="00043D2A">
        <w:tc>
          <w:tcPr>
            <w:tcW w:w="3936" w:type="dxa"/>
            <w:tcBorders>
              <w:top w:val="single" w:sz="4" w:space="0" w:color="auto"/>
              <w:left w:val="single" w:sz="4" w:space="0" w:color="auto"/>
              <w:bottom w:val="single" w:sz="4" w:space="0" w:color="auto"/>
              <w:right w:val="single" w:sz="4" w:space="0" w:color="auto"/>
            </w:tcBorders>
          </w:tcPr>
          <w:p w14:paraId="175E5B0D" w14:textId="77777777" w:rsidR="00D65E53" w:rsidRPr="00D65E53" w:rsidRDefault="00D65E53">
            <w:pPr>
              <w:rPr>
                <w:rFonts w:cstheme="minorHAnsi"/>
                <w:bCs/>
                <w:sz w:val="24"/>
                <w:szCs w:val="24"/>
              </w:rPr>
            </w:pPr>
            <w:r w:rsidRPr="00D65E53">
              <w:rPr>
                <w:rFonts w:cstheme="minorHAnsi"/>
                <w:bCs/>
                <w:sz w:val="24"/>
                <w:szCs w:val="24"/>
              </w:rPr>
              <w:t>Najib Thabet</w:t>
            </w:r>
          </w:p>
          <w:p w14:paraId="19D7C4A3" w14:textId="77777777" w:rsidR="00D65E53" w:rsidRPr="00D65E53" w:rsidRDefault="00D65E53">
            <w:pPr>
              <w:rPr>
                <w:rFonts w:cstheme="minorHAnsi"/>
                <w:bCs/>
                <w:sz w:val="24"/>
                <w:szCs w:val="24"/>
              </w:rPr>
            </w:pPr>
          </w:p>
        </w:tc>
        <w:tc>
          <w:tcPr>
            <w:tcW w:w="5131" w:type="dxa"/>
            <w:tcBorders>
              <w:top w:val="single" w:sz="4" w:space="0" w:color="auto"/>
              <w:left w:val="single" w:sz="4" w:space="0" w:color="auto"/>
              <w:bottom w:val="single" w:sz="4" w:space="0" w:color="auto"/>
              <w:right w:val="single" w:sz="4" w:space="0" w:color="auto"/>
            </w:tcBorders>
            <w:hideMark/>
          </w:tcPr>
          <w:p w14:paraId="059F5C90" w14:textId="77777777" w:rsidR="00D65E53" w:rsidRPr="00D65E53" w:rsidRDefault="00D65E53">
            <w:pPr>
              <w:rPr>
                <w:rFonts w:cstheme="minorHAnsi"/>
                <w:bCs/>
                <w:sz w:val="24"/>
                <w:szCs w:val="24"/>
              </w:rPr>
            </w:pPr>
            <w:r w:rsidRPr="00D65E53">
              <w:rPr>
                <w:rFonts w:cstheme="minorHAnsi"/>
                <w:bCs/>
                <w:sz w:val="24"/>
                <w:szCs w:val="24"/>
              </w:rPr>
              <w:t>Ministère de l’Energie, mines et énergies renouvelables</w:t>
            </w:r>
          </w:p>
        </w:tc>
      </w:tr>
      <w:tr w:rsidR="00D65E53" w14:paraId="1113FFF3" w14:textId="77777777" w:rsidTr="00043D2A">
        <w:tc>
          <w:tcPr>
            <w:tcW w:w="3936" w:type="dxa"/>
            <w:tcBorders>
              <w:top w:val="single" w:sz="4" w:space="0" w:color="auto"/>
              <w:left w:val="single" w:sz="4" w:space="0" w:color="auto"/>
              <w:bottom w:val="single" w:sz="4" w:space="0" w:color="auto"/>
              <w:right w:val="single" w:sz="4" w:space="0" w:color="auto"/>
            </w:tcBorders>
            <w:hideMark/>
          </w:tcPr>
          <w:p w14:paraId="4165275E" w14:textId="77777777" w:rsidR="00D65E53" w:rsidRPr="00D65E53" w:rsidRDefault="00D65E53">
            <w:pPr>
              <w:rPr>
                <w:rFonts w:cstheme="minorHAnsi"/>
                <w:bCs/>
                <w:sz w:val="24"/>
                <w:szCs w:val="24"/>
              </w:rPr>
            </w:pPr>
            <w:r w:rsidRPr="00D65E53">
              <w:rPr>
                <w:rFonts w:cstheme="minorHAnsi"/>
                <w:bCs/>
                <w:sz w:val="24"/>
                <w:szCs w:val="24"/>
              </w:rPr>
              <w:t>Fedia Gasmi</w:t>
            </w:r>
          </w:p>
        </w:tc>
        <w:tc>
          <w:tcPr>
            <w:tcW w:w="5131" w:type="dxa"/>
            <w:tcBorders>
              <w:top w:val="single" w:sz="4" w:space="0" w:color="auto"/>
              <w:left w:val="single" w:sz="4" w:space="0" w:color="auto"/>
              <w:bottom w:val="single" w:sz="4" w:space="0" w:color="auto"/>
              <w:right w:val="single" w:sz="4" w:space="0" w:color="auto"/>
            </w:tcBorders>
            <w:hideMark/>
          </w:tcPr>
          <w:p w14:paraId="60A41059" w14:textId="77777777" w:rsidR="00D65E53" w:rsidRPr="00D65E53" w:rsidRDefault="00D65E53">
            <w:pPr>
              <w:rPr>
                <w:rFonts w:cstheme="minorHAnsi"/>
                <w:bCs/>
                <w:sz w:val="24"/>
                <w:szCs w:val="24"/>
              </w:rPr>
            </w:pPr>
            <w:r w:rsidRPr="00D65E53">
              <w:rPr>
                <w:rFonts w:cstheme="minorHAnsi"/>
                <w:bCs/>
                <w:sz w:val="24"/>
                <w:szCs w:val="24"/>
              </w:rPr>
              <w:t>l'institut tunisien pour la démocratie et développement</w:t>
            </w:r>
          </w:p>
        </w:tc>
      </w:tr>
      <w:tr w:rsidR="00D65E53" w14:paraId="7612ABD9" w14:textId="77777777" w:rsidTr="00043D2A">
        <w:tc>
          <w:tcPr>
            <w:tcW w:w="3936" w:type="dxa"/>
            <w:tcBorders>
              <w:top w:val="single" w:sz="4" w:space="0" w:color="auto"/>
              <w:left w:val="single" w:sz="4" w:space="0" w:color="auto"/>
              <w:bottom w:val="single" w:sz="4" w:space="0" w:color="auto"/>
              <w:right w:val="single" w:sz="4" w:space="0" w:color="auto"/>
            </w:tcBorders>
            <w:hideMark/>
          </w:tcPr>
          <w:p w14:paraId="474ECA0B" w14:textId="77777777" w:rsidR="00D65E53" w:rsidRPr="00D65E53" w:rsidRDefault="00D65E53">
            <w:pPr>
              <w:rPr>
                <w:rFonts w:cstheme="minorHAnsi"/>
                <w:bCs/>
                <w:sz w:val="24"/>
                <w:szCs w:val="24"/>
              </w:rPr>
            </w:pPr>
            <w:r w:rsidRPr="00D65E53">
              <w:rPr>
                <w:rFonts w:cstheme="minorHAnsi"/>
                <w:bCs/>
                <w:sz w:val="24"/>
                <w:szCs w:val="24"/>
              </w:rPr>
              <w:t>Monia Chaâbane</w:t>
            </w:r>
          </w:p>
        </w:tc>
        <w:tc>
          <w:tcPr>
            <w:tcW w:w="5131" w:type="dxa"/>
            <w:tcBorders>
              <w:top w:val="single" w:sz="4" w:space="0" w:color="auto"/>
              <w:left w:val="single" w:sz="4" w:space="0" w:color="auto"/>
              <w:bottom w:val="single" w:sz="4" w:space="0" w:color="auto"/>
              <w:right w:val="single" w:sz="4" w:space="0" w:color="auto"/>
            </w:tcBorders>
            <w:hideMark/>
          </w:tcPr>
          <w:p w14:paraId="34A9EDC0" w14:textId="77777777" w:rsidR="00D65E53" w:rsidRPr="00D65E53" w:rsidRDefault="00D65E53">
            <w:pPr>
              <w:rPr>
                <w:rFonts w:cstheme="minorHAnsi"/>
                <w:bCs/>
                <w:sz w:val="24"/>
                <w:szCs w:val="24"/>
              </w:rPr>
            </w:pPr>
            <w:r w:rsidRPr="00D65E53">
              <w:rPr>
                <w:rFonts w:cstheme="minorHAnsi"/>
                <w:bCs/>
                <w:sz w:val="24"/>
                <w:szCs w:val="24"/>
              </w:rPr>
              <w:t>Ministère de l’éducation</w:t>
            </w:r>
          </w:p>
        </w:tc>
      </w:tr>
      <w:tr w:rsidR="00D65E53" w14:paraId="4C888C14" w14:textId="77777777" w:rsidTr="00043D2A">
        <w:tc>
          <w:tcPr>
            <w:tcW w:w="3936" w:type="dxa"/>
            <w:tcBorders>
              <w:top w:val="single" w:sz="4" w:space="0" w:color="auto"/>
              <w:left w:val="single" w:sz="4" w:space="0" w:color="auto"/>
              <w:bottom w:val="single" w:sz="4" w:space="0" w:color="auto"/>
              <w:right w:val="single" w:sz="4" w:space="0" w:color="auto"/>
            </w:tcBorders>
            <w:hideMark/>
          </w:tcPr>
          <w:p w14:paraId="4557A083" w14:textId="77777777" w:rsidR="00D65E53" w:rsidRPr="00D65E53" w:rsidRDefault="00D65E53">
            <w:pPr>
              <w:rPr>
                <w:rFonts w:cstheme="minorHAnsi"/>
                <w:bCs/>
                <w:sz w:val="24"/>
                <w:szCs w:val="24"/>
              </w:rPr>
            </w:pPr>
            <w:r w:rsidRPr="00D65E53">
              <w:rPr>
                <w:rFonts w:cstheme="minorHAnsi"/>
                <w:bCs/>
                <w:sz w:val="24"/>
                <w:szCs w:val="24"/>
              </w:rPr>
              <w:t>Hédi Jallab</w:t>
            </w:r>
          </w:p>
        </w:tc>
        <w:tc>
          <w:tcPr>
            <w:tcW w:w="5131" w:type="dxa"/>
            <w:tcBorders>
              <w:top w:val="single" w:sz="4" w:space="0" w:color="auto"/>
              <w:left w:val="single" w:sz="4" w:space="0" w:color="auto"/>
              <w:bottom w:val="single" w:sz="4" w:space="0" w:color="auto"/>
              <w:right w:val="single" w:sz="4" w:space="0" w:color="auto"/>
            </w:tcBorders>
            <w:hideMark/>
          </w:tcPr>
          <w:p w14:paraId="4DB5A505" w14:textId="77777777" w:rsidR="00D65E53" w:rsidRPr="00D65E53" w:rsidRDefault="00D65E53">
            <w:pPr>
              <w:rPr>
                <w:rFonts w:cstheme="minorHAnsi"/>
                <w:bCs/>
                <w:sz w:val="24"/>
                <w:szCs w:val="24"/>
              </w:rPr>
            </w:pPr>
            <w:r w:rsidRPr="00D65E53">
              <w:rPr>
                <w:rFonts w:cstheme="minorHAnsi"/>
                <w:bCs/>
                <w:sz w:val="24"/>
                <w:szCs w:val="24"/>
              </w:rPr>
              <w:t>Archives nationales</w:t>
            </w:r>
          </w:p>
        </w:tc>
      </w:tr>
      <w:tr w:rsidR="00D65E53" w14:paraId="684D24BB" w14:textId="77777777" w:rsidTr="00043D2A">
        <w:tc>
          <w:tcPr>
            <w:tcW w:w="3936" w:type="dxa"/>
            <w:tcBorders>
              <w:top w:val="single" w:sz="4" w:space="0" w:color="auto"/>
              <w:left w:val="single" w:sz="4" w:space="0" w:color="auto"/>
              <w:bottom w:val="single" w:sz="4" w:space="0" w:color="auto"/>
              <w:right w:val="single" w:sz="4" w:space="0" w:color="auto"/>
            </w:tcBorders>
            <w:hideMark/>
          </w:tcPr>
          <w:p w14:paraId="2D72BE3F" w14:textId="77777777" w:rsidR="00D65E53" w:rsidRPr="00D65E53" w:rsidRDefault="00D65E53">
            <w:pPr>
              <w:rPr>
                <w:rFonts w:cstheme="minorHAnsi"/>
                <w:bCs/>
                <w:sz w:val="24"/>
                <w:szCs w:val="24"/>
              </w:rPr>
            </w:pPr>
            <w:r w:rsidRPr="00D65E53">
              <w:rPr>
                <w:rFonts w:cstheme="minorHAnsi"/>
                <w:bCs/>
                <w:sz w:val="24"/>
                <w:szCs w:val="24"/>
              </w:rPr>
              <w:t>Abdelhamid Jarmouni</w:t>
            </w:r>
          </w:p>
        </w:tc>
        <w:tc>
          <w:tcPr>
            <w:tcW w:w="5131" w:type="dxa"/>
            <w:tcBorders>
              <w:top w:val="single" w:sz="4" w:space="0" w:color="auto"/>
              <w:left w:val="single" w:sz="4" w:space="0" w:color="auto"/>
              <w:bottom w:val="single" w:sz="4" w:space="0" w:color="auto"/>
              <w:right w:val="single" w:sz="4" w:space="0" w:color="auto"/>
            </w:tcBorders>
            <w:hideMark/>
          </w:tcPr>
          <w:p w14:paraId="25F94EB4" w14:textId="77777777" w:rsidR="00D65E53" w:rsidRPr="00D65E53" w:rsidRDefault="00D65E53">
            <w:pPr>
              <w:rPr>
                <w:rFonts w:cstheme="minorHAnsi"/>
                <w:bCs/>
                <w:sz w:val="24"/>
                <w:szCs w:val="24"/>
              </w:rPr>
            </w:pPr>
            <w:r w:rsidRPr="00D65E53">
              <w:rPr>
                <w:rFonts w:cstheme="minorHAnsi"/>
                <w:bCs/>
                <w:sz w:val="24"/>
                <w:szCs w:val="24"/>
              </w:rPr>
              <w:t xml:space="preserve">Tunisian e-Government society </w:t>
            </w:r>
          </w:p>
        </w:tc>
      </w:tr>
      <w:tr w:rsidR="00D65E53" w14:paraId="21A355AA" w14:textId="77777777" w:rsidTr="00043D2A">
        <w:tc>
          <w:tcPr>
            <w:tcW w:w="3936" w:type="dxa"/>
            <w:tcBorders>
              <w:top w:val="single" w:sz="4" w:space="0" w:color="auto"/>
              <w:left w:val="single" w:sz="4" w:space="0" w:color="auto"/>
              <w:bottom w:val="single" w:sz="4" w:space="0" w:color="auto"/>
              <w:right w:val="single" w:sz="4" w:space="0" w:color="auto"/>
            </w:tcBorders>
            <w:hideMark/>
          </w:tcPr>
          <w:p w14:paraId="728715DD" w14:textId="77777777" w:rsidR="00D65E53" w:rsidRPr="00D65E53" w:rsidRDefault="00D65E53">
            <w:pPr>
              <w:rPr>
                <w:rFonts w:cstheme="minorHAnsi"/>
                <w:bCs/>
                <w:sz w:val="24"/>
                <w:szCs w:val="24"/>
              </w:rPr>
            </w:pPr>
            <w:r w:rsidRPr="00D65E53">
              <w:rPr>
                <w:rFonts w:cstheme="minorHAnsi"/>
                <w:bCs/>
                <w:sz w:val="24"/>
                <w:szCs w:val="24"/>
              </w:rPr>
              <w:t>Sihem Bouazza</w:t>
            </w:r>
          </w:p>
        </w:tc>
        <w:tc>
          <w:tcPr>
            <w:tcW w:w="5131" w:type="dxa"/>
            <w:tcBorders>
              <w:top w:val="single" w:sz="4" w:space="0" w:color="auto"/>
              <w:left w:val="single" w:sz="4" w:space="0" w:color="auto"/>
              <w:bottom w:val="single" w:sz="4" w:space="0" w:color="auto"/>
              <w:right w:val="single" w:sz="4" w:space="0" w:color="auto"/>
            </w:tcBorders>
            <w:hideMark/>
          </w:tcPr>
          <w:p w14:paraId="435EA9C2" w14:textId="77777777" w:rsidR="00D65E53" w:rsidRPr="00D65E53" w:rsidRDefault="00D65E53">
            <w:pPr>
              <w:rPr>
                <w:rFonts w:cstheme="minorHAnsi"/>
                <w:bCs/>
                <w:sz w:val="24"/>
                <w:szCs w:val="24"/>
              </w:rPr>
            </w:pPr>
            <w:r w:rsidRPr="00D65E53">
              <w:rPr>
                <w:rFonts w:cstheme="minorHAnsi"/>
                <w:bCs/>
                <w:sz w:val="24"/>
                <w:szCs w:val="24"/>
              </w:rPr>
              <w:t xml:space="preserve">Association Tunisienne du Droit de Développement </w:t>
            </w:r>
          </w:p>
        </w:tc>
      </w:tr>
      <w:tr w:rsidR="00D65E53" w14:paraId="26F245F2" w14:textId="77777777" w:rsidTr="00043D2A">
        <w:tc>
          <w:tcPr>
            <w:tcW w:w="3936" w:type="dxa"/>
            <w:tcBorders>
              <w:top w:val="single" w:sz="4" w:space="0" w:color="auto"/>
              <w:left w:val="single" w:sz="4" w:space="0" w:color="auto"/>
              <w:bottom w:val="single" w:sz="4" w:space="0" w:color="auto"/>
              <w:right w:val="single" w:sz="4" w:space="0" w:color="auto"/>
            </w:tcBorders>
            <w:hideMark/>
          </w:tcPr>
          <w:p w14:paraId="121A1A9A" w14:textId="77777777" w:rsidR="00D65E53" w:rsidRPr="00D65E53" w:rsidRDefault="00D65E53">
            <w:pPr>
              <w:rPr>
                <w:rFonts w:cstheme="minorHAnsi"/>
                <w:bCs/>
                <w:sz w:val="24"/>
                <w:szCs w:val="24"/>
              </w:rPr>
            </w:pPr>
            <w:r w:rsidRPr="00D65E53">
              <w:rPr>
                <w:rFonts w:cstheme="minorHAnsi"/>
                <w:bCs/>
                <w:sz w:val="24"/>
                <w:szCs w:val="24"/>
              </w:rPr>
              <w:t xml:space="preserve">Nejib Mokni </w:t>
            </w:r>
          </w:p>
        </w:tc>
        <w:tc>
          <w:tcPr>
            <w:tcW w:w="5131" w:type="dxa"/>
            <w:tcBorders>
              <w:top w:val="single" w:sz="4" w:space="0" w:color="auto"/>
              <w:left w:val="single" w:sz="4" w:space="0" w:color="auto"/>
              <w:bottom w:val="single" w:sz="4" w:space="0" w:color="auto"/>
              <w:right w:val="single" w:sz="4" w:space="0" w:color="auto"/>
            </w:tcBorders>
            <w:hideMark/>
          </w:tcPr>
          <w:p w14:paraId="0E7B3022" w14:textId="77777777" w:rsidR="00D65E53" w:rsidRPr="00D65E53" w:rsidRDefault="00D65E53">
            <w:pPr>
              <w:rPr>
                <w:rFonts w:cstheme="minorHAnsi"/>
                <w:bCs/>
                <w:sz w:val="24"/>
                <w:szCs w:val="24"/>
              </w:rPr>
            </w:pPr>
            <w:r w:rsidRPr="00D65E53">
              <w:rPr>
                <w:rFonts w:cstheme="minorHAnsi"/>
                <w:bCs/>
                <w:sz w:val="24"/>
                <w:szCs w:val="24"/>
              </w:rPr>
              <w:t>Article 19</w:t>
            </w:r>
          </w:p>
        </w:tc>
      </w:tr>
      <w:tr w:rsidR="00D65E53" w14:paraId="54A0521D" w14:textId="77777777" w:rsidTr="00043D2A">
        <w:tc>
          <w:tcPr>
            <w:tcW w:w="3936" w:type="dxa"/>
            <w:tcBorders>
              <w:top w:val="single" w:sz="4" w:space="0" w:color="auto"/>
              <w:left w:val="single" w:sz="4" w:space="0" w:color="auto"/>
              <w:bottom w:val="single" w:sz="4" w:space="0" w:color="auto"/>
              <w:right w:val="single" w:sz="4" w:space="0" w:color="auto"/>
            </w:tcBorders>
            <w:hideMark/>
          </w:tcPr>
          <w:p w14:paraId="3772143B" w14:textId="77777777" w:rsidR="00D65E53" w:rsidRPr="00D65E53" w:rsidRDefault="00D65E53">
            <w:pPr>
              <w:rPr>
                <w:rFonts w:cstheme="minorHAnsi"/>
                <w:bCs/>
                <w:sz w:val="24"/>
                <w:szCs w:val="24"/>
              </w:rPr>
            </w:pPr>
            <w:r w:rsidRPr="00D65E53">
              <w:rPr>
                <w:rFonts w:cstheme="minorHAnsi"/>
                <w:bCs/>
                <w:sz w:val="24"/>
                <w:szCs w:val="24"/>
              </w:rPr>
              <w:t>Nizar Barkouti</w:t>
            </w:r>
          </w:p>
        </w:tc>
        <w:tc>
          <w:tcPr>
            <w:tcW w:w="5131" w:type="dxa"/>
            <w:tcBorders>
              <w:top w:val="single" w:sz="4" w:space="0" w:color="auto"/>
              <w:left w:val="single" w:sz="4" w:space="0" w:color="auto"/>
              <w:bottom w:val="single" w:sz="4" w:space="0" w:color="auto"/>
              <w:right w:val="single" w:sz="4" w:space="0" w:color="auto"/>
            </w:tcBorders>
            <w:hideMark/>
          </w:tcPr>
          <w:p w14:paraId="2E7EE191" w14:textId="77777777" w:rsidR="00D65E53" w:rsidRPr="00D65E53" w:rsidRDefault="00D65E53">
            <w:pPr>
              <w:rPr>
                <w:rFonts w:cstheme="minorHAnsi"/>
                <w:bCs/>
                <w:sz w:val="24"/>
                <w:szCs w:val="24"/>
              </w:rPr>
            </w:pPr>
            <w:r w:rsidRPr="00D65E53">
              <w:rPr>
                <w:rFonts w:cstheme="minorHAnsi"/>
                <w:bCs/>
                <w:sz w:val="24"/>
                <w:szCs w:val="24"/>
              </w:rPr>
              <w:t>Ministère des affaires de la jeunesse et des sports</w:t>
            </w:r>
          </w:p>
        </w:tc>
      </w:tr>
      <w:tr w:rsidR="00D65E53" w14:paraId="372C74CD" w14:textId="77777777" w:rsidTr="00043D2A">
        <w:tc>
          <w:tcPr>
            <w:tcW w:w="3936" w:type="dxa"/>
            <w:tcBorders>
              <w:top w:val="single" w:sz="4" w:space="0" w:color="auto"/>
              <w:left w:val="single" w:sz="4" w:space="0" w:color="auto"/>
              <w:bottom w:val="single" w:sz="4" w:space="0" w:color="auto"/>
              <w:right w:val="single" w:sz="4" w:space="0" w:color="auto"/>
            </w:tcBorders>
            <w:hideMark/>
          </w:tcPr>
          <w:p w14:paraId="257B0598" w14:textId="77777777" w:rsidR="00D65E53" w:rsidRPr="00D65E53" w:rsidRDefault="00D65E53">
            <w:pPr>
              <w:rPr>
                <w:rFonts w:cstheme="minorHAnsi"/>
                <w:bCs/>
                <w:sz w:val="24"/>
                <w:szCs w:val="24"/>
              </w:rPr>
            </w:pPr>
            <w:r w:rsidRPr="00D65E53">
              <w:rPr>
                <w:rFonts w:cstheme="minorHAnsi"/>
                <w:bCs/>
                <w:sz w:val="24"/>
                <w:szCs w:val="24"/>
              </w:rPr>
              <w:t>Anissa Ben Hssin</w:t>
            </w:r>
          </w:p>
        </w:tc>
        <w:tc>
          <w:tcPr>
            <w:tcW w:w="5131" w:type="dxa"/>
            <w:tcBorders>
              <w:top w:val="single" w:sz="4" w:space="0" w:color="auto"/>
              <w:left w:val="single" w:sz="4" w:space="0" w:color="auto"/>
              <w:bottom w:val="single" w:sz="4" w:space="0" w:color="auto"/>
              <w:right w:val="single" w:sz="4" w:space="0" w:color="auto"/>
            </w:tcBorders>
            <w:hideMark/>
          </w:tcPr>
          <w:p w14:paraId="7B9250A3" w14:textId="77777777" w:rsidR="00D65E53" w:rsidRPr="00D65E53" w:rsidRDefault="00D65E53">
            <w:pPr>
              <w:rPr>
                <w:rFonts w:cstheme="minorHAnsi"/>
                <w:bCs/>
                <w:sz w:val="24"/>
                <w:szCs w:val="24"/>
              </w:rPr>
            </w:pPr>
            <w:r w:rsidRPr="00D65E53">
              <w:rPr>
                <w:rFonts w:cstheme="minorHAnsi"/>
                <w:bCs/>
                <w:sz w:val="24"/>
                <w:szCs w:val="24"/>
              </w:rPr>
              <w:t>Professeur universitaire</w:t>
            </w:r>
          </w:p>
        </w:tc>
      </w:tr>
      <w:tr w:rsidR="00D65E53" w14:paraId="13F03F60" w14:textId="77777777" w:rsidTr="00043D2A">
        <w:tc>
          <w:tcPr>
            <w:tcW w:w="3936" w:type="dxa"/>
            <w:tcBorders>
              <w:top w:val="single" w:sz="4" w:space="0" w:color="auto"/>
              <w:left w:val="single" w:sz="4" w:space="0" w:color="auto"/>
              <w:bottom w:val="single" w:sz="4" w:space="0" w:color="auto"/>
              <w:right w:val="single" w:sz="4" w:space="0" w:color="auto"/>
            </w:tcBorders>
            <w:hideMark/>
          </w:tcPr>
          <w:p w14:paraId="3F89B26A" w14:textId="77777777" w:rsidR="00D65E53" w:rsidRPr="00D65E53" w:rsidRDefault="00D65E53">
            <w:pPr>
              <w:rPr>
                <w:rFonts w:cstheme="minorHAnsi"/>
                <w:bCs/>
                <w:sz w:val="24"/>
                <w:szCs w:val="24"/>
              </w:rPr>
            </w:pPr>
            <w:r w:rsidRPr="00D65E53">
              <w:rPr>
                <w:rFonts w:cstheme="minorHAnsi"/>
                <w:bCs/>
                <w:sz w:val="24"/>
                <w:szCs w:val="24"/>
              </w:rPr>
              <w:t xml:space="preserve">Moez Dalloua </w:t>
            </w:r>
          </w:p>
        </w:tc>
        <w:tc>
          <w:tcPr>
            <w:tcW w:w="5131" w:type="dxa"/>
            <w:tcBorders>
              <w:top w:val="single" w:sz="4" w:space="0" w:color="auto"/>
              <w:left w:val="single" w:sz="4" w:space="0" w:color="auto"/>
              <w:bottom w:val="single" w:sz="4" w:space="0" w:color="auto"/>
              <w:right w:val="single" w:sz="4" w:space="0" w:color="auto"/>
            </w:tcBorders>
            <w:hideMark/>
          </w:tcPr>
          <w:p w14:paraId="208E7376" w14:textId="77777777" w:rsidR="00D65E53" w:rsidRPr="00D65E53" w:rsidRDefault="00D65E53">
            <w:pPr>
              <w:rPr>
                <w:rFonts w:cstheme="minorHAnsi"/>
                <w:bCs/>
                <w:sz w:val="24"/>
                <w:szCs w:val="24"/>
              </w:rPr>
            </w:pPr>
            <w:r w:rsidRPr="00D65E53">
              <w:rPr>
                <w:rFonts w:cstheme="minorHAnsi"/>
                <w:bCs/>
                <w:sz w:val="24"/>
                <w:szCs w:val="24"/>
              </w:rPr>
              <w:t>FSVC</w:t>
            </w:r>
          </w:p>
        </w:tc>
      </w:tr>
      <w:tr w:rsidR="00D65E53" w14:paraId="5756E5EF" w14:textId="77777777" w:rsidTr="00043D2A">
        <w:tc>
          <w:tcPr>
            <w:tcW w:w="3936" w:type="dxa"/>
            <w:tcBorders>
              <w:top w:val="single" w:sz="4" w:space="0" w:color="auto"/>
              <w:left w:val="single" w:sz="4" w:space="0" w:color="auto"/>
              <w:bottom w:val="single" w:sz="4" w:space="0" w:color="auto"/>
              <w:right w:val="single" w:sz="4" w:space="0" w:color="auto"/>
            </w:tcBorders>
            <w:hideMark/>
          </w:tcPr>
          <w:p w14:paraId="02BC009F" w14:textId="77777777" w:rsidR="00D65E53" w:rsidRPr="00D65E53" w:rsidRDefault="00D65E53">
            <w:pPr>
              <w:pStyle w:val="Textebrut"/>
              <w:rPr>
                <w:rFonts w:asciiTheme="minorHAnsi" w:hAnsiTheme="minorHAnsi" w:cstheme="minorHAnsi"/>
                <w:bCs/>
                <w:sz w:val="24"/>
                <w:szCs w:val="24"/>
              </w:rPr>
            </w:pPr>
            <w:r w:rsidRPr="00D65E53">
              <w:rPr>
                <w:rFonts w:asciiTheme="minorHAnsi" w:hAnsiTheme="minorHAnsi" w:cstheme="minorHAnsi"/>
                <w:bCs/>
                <w:sz w:val="24"/>
                <w:szCs w:val="24"/>
              </w:rPr>
              <w:t>Yosra Abbessi</w:t>
            </w:r>
          </w:p>
        </w:tc>
        <w:tc>
          <w:tcPr>
            <w:tcW w:w="5131" w:type="dxa"/>
            <w:tcBorders>
              <w:top w:val="single" w:sz="4" w:space="0" w:color="auto"/>
              <w:left w:val="single" w:sz="4" w:space="0" w:color="auto"/>
              <w:bottom w:val="single" w:sz="4" w:space="0" w:color="auto"/>
              <w:right w:val="single" w:sz="4" w:space="0" w:color="auto"/>
            </w:tcBorders>
            <w:hideMark/>
          </w:tcPr>
          <w:p w14:paraId="017096D4" w14:textId="77777777" w:rsidR="00D65E53" w:rsidRPr="00D65E53" w:rsidRDefault="00D65E53">
            <w:pPr>
              <w:rPr>
                <w:rFonts w:cstheme="minorHAnsi"/>
                <w:bCs/>
                <w:sz w:val="24"/>
                <w:szCs w:val="24"/>
              </w:rPr>
            </w:pPr>
            <w:r w:rsidRPr="00D65E53">
              <w:rPr>
                <w:rFonts w:cstheme="minorHAnsi"/>
                <w:bCs/>
                <w:sz w:val="24"/>
                <w:szCs w:val="24"/>
              </w:rPr>
              <w:t xml:space="preserve">Ministère de l’agriculture </w:t>
            </w:r>
          </w:p>
        </w:tc>
      </w:tr>
      <w:tr w:rsidR="00D65E53" w14:paraId="6A3F7EE0" w14:textId="77777777" w:rsidTr="00043D2A">
        <w:tc>
          <w:tcPr>
            <w:tcW w:w="3936" w:type="dxa"/>
            <w:tcBorders>
              <w:top w:val="single" w:sz="4" w:space="0" w:color="auto"/>
              <w:left w:val="single" w:sz="4" w:space="0" w:color="auto"/>
              <w:bottom w:val="single" w:sz="4" w:space="0" w:color="auto"/>
              <w:right w:val="single" w:sz="4" w:space="0" w:color="auto"/>
            </w:tcBorders>
            <w:hideMark/>
          </w:tcPr>
          <w:p w14:paraId="3BBFE506" w14:textId="77777777" w:rsidR="00D65E53" w:rsidRPr="00D65E53" w:rsidRDefault="00D65E53">
            <w:pPr>
              <w:pStyle w:val="Textebrut"/>
              <w:rPr>
                <w:rFonts w:asciiTheme="minorHAnsi" w:hAnsiTheme="minorHAnsi" w:cstheme="minorHAnsi"/>
                <w:bCs/>
                <w:sz w:val="24"/>
                <w:szCs w:val="24"/>
              </w:rPr>
            </w:pPr>
            <w:r w:rsidRPr="00D65E53">
              <w:rPr>
                <w:rFonts w:asciiTheme="minorHAnsi" w:hAnsiTheme="minorHAnsi" w:cstheme="minorHAnsi"/>
                <w:bCs/>
                <w:sz w:val="24"/>
                <w:szCs w:val="24"/>
              </w:rPr>
              <w:t xml:space="preserve">Safa Soussi </w:t>
            </w:r>
          </w:p>
        </w:tc>
        <w:tc>
          <w:tcPr>
            <w:tcW w:w="5131" w:type="dxa"/>
            <w:tcBorders>
              <w:top w:val="single" w:sz="4" w:space="0" w:color="auto"/>
              <w:left w:val="single" w:sz="4" w:space="0" w:color="auto"/>
              <w:bottom w:val="single" w:sz="4" w:space="0" w:color="auto"/>
              <w:right w:val="single" w:sz="4" w:space="0" w:color="auto"/>
            </w:tcBorders>
            <w:hideMark/>
          </w:tcPr>
          <w:p w14:paraId="4BC1F0CB" w14:textId="77777777" w:rsidR="00D65E53" w:rsidRPr="00D65E53" w:rsidRDefault="00D65E53">
            <w:pPr>
              <w:rPr>
                <w:rFonts w:cstheme="minorHAnsi"/>
                <w:bCs/>
                <w:sz w:val="24"/>
                <w:szCs w:val="24"/>
              </w:rPr>
            </w:pPr>
            <w:r w:rsidRPr="00D65E53">
              <w:rPr>
                <w:rFonts w:cstheme="minorHAnsi"/>
                <w:bCs/>
                <w:sz w:val="24"/>
                <w:szCs w:val="24"/>
              </w:rPr>
              <w:t>Ministère des affaires étrangères</w:t>
            </w:r>
          </w:p>
        </w:tc>
      </w:tr>
      <w:tr w:rsidR="00D65E53" w14:paraId="08E090AD" w14:textId="77777777" w:rsidTr="00043D2A">
        <w:tc>
          <w:tcPr>
            <w:tcW w:w="3936" w:type="dxa"/>
            <w:tcBorders>
              <w:top w:val="single" w:sz="4" w:space="0" w:color="auto"/>
              <w:left w:val="single" w:sz="4" w:space="0" w:color="auto"/>
              <w:bottom w:val="single" w:sz="4" w:space="0" w:color="auto"/>
              <w:right w:val="single" w:sz="4" w:space="0" w:color="auto"/>
            </w:tcBorders>
            <w:hideMark/>
          </w:tcPr>
          <w:p w14:paraId="20F33D21" w14:textId="77777777" w:rsidR="00D65E53" w:rsidRPr="00D65E53" w:rsidRDefault="00D65E53">
            <w:pPr>
              <w:pStyle w:val="Textebrut"/>
              <w:rPr>
                <w:rFonts w:asciiTheme="minorHAnsi" w:hAnsiTheme="minorHAnsi" w:cstheme="minorHAnsi"/>
                <w:bCs/>
                <w:sz w:val="24"/>
                <w:szCs w:val="24"/>
              </w:rPr>
            </w:pPr>
            <w:r w:rsidRPr="00D65E53">
              <w:rPr>
                <w:rFonts w:asciiTheme="minorHAnsi" w:hAnsiTheme="minorHAnsi" w:cstheme="minorHAnsi"/>
                <w:bCs/>
                <w:sz w:val="24"/>
                <w:szCs w:val="24"/>
              </w:rPr>
              <w:t>Kais Hedhli</w:t>
            </w:r>
          </w:p>
        </w:tc>
        <w:tc>
          <w:tcPr>
            <w:tcW w:w="5131" w:type="dxa"/>
            <w:tcBorders>
              <w:top w:val="single" w:sz="4" w:space="0" w:color="auto"/>
              <w:left w:val="single" w:sz="4" w:space="0" w:color="auto"/>
              <w:bottom w:val="single" w:sz="4" w:space="0" w:color="auto"/>
              <w:right w:val="single" w:sz="4" w:space="0" w:color="auto"/>
            </w:tcBorders>
            <w:hideMark/>
          </w:tcPr>
          <w:p w14:paraId="2E7CE817" w14:textId="77777777" w:rsidR="00D65E53" w:rsidRPr="00D65E53" w:rsidRDefault="00D65E53">
            <w:pPr>
              <w:rPr>
                <w:rFonts w:cstheme="minorHAnsi"/>
                <w:bCs/>
                <w:sz w:val="24"/>
                <w:szCs w:val="24"/>
              </w:rPr>
            </w:pPr>
            <w:r w:rsidRPr="00D65E53">
              <w:rPr>
                <w:rFonts w:cstheme="minorHAnsi"/>
                <w:bCs/>
                <w:sz w:val="24"/>
                <w:szCs w:val="24"/>
              </w:rPr>
              <w:t>Ministère des Domaines de l’Etat et des affaires foncières</w:t>
            </w:r>
          </w:p>
        </w:tc>
      </w:tr>
      <w:tr w:rsidR="00D65E53" w14:paraId="588A770C" w14:textId="77777777" w:rsidTr="00043D2A">
        <w:tc>
          <w:tcPr>
            <w:tcW w:w="3936" w:type="dxa"/>
            <w:tcBorders>
              <w:top w:val="single" w:sz="4" w:space="0" w:color="auto"/>
              <w:left w:val="single" w:sz="4" w:space="0" w:color="auto"/>
              <w:bottom w:val="single" w:sz="4" w:space="0" w:color="auto"/>
              <w:right w:val="single" w:sz="4" w:space="0" w:color="auto"/>
            </w:tcBorders>
            <w:hideMark/>
          </w:tcPr>
          <w:p w14:paraId="2A1AF9EA" w14:textId="77777777" w:rsidR="00D65E53" w:rsidRPr="00D65E53" w:rsidRDefault="00D65E53">
            <w:pPr>
              <w:pStyle w:val="Textebrut"/>
              <w:tabs>
                <w:tab w:val="left" w:pos="2254"/>
              </w:tabs>
              <w:rPr>
                <w:rFonts w:asciiTheme="minorHAnsi" w:hAnsiTheme="minorHAnsi" w:cstheme="minorHAnsi"/>
                <w:bCs/>
                <w:sz w:val="24"/>
                <w:szCs w:val="24"/>
              </w:rPr>
            </w:pPr>
            <w:r w:rsidRPr="00D65E53">
              <w:rPr>
                <w:rFonts w:asciiTheme="minorHAnsi" w:hAnsiTheme="minorHAnsi" w:cstheme="minorHAnsi"/>
                <w:bCs/>
                <w:sz w:val="24"/>
                <w:szCs w:val="24"/>
              </w:rPr>
              <w:t>Imen Guellela</w:t>
            </w:r>
            <w:r w:rsidRPr="00D65E53">
              <w:rPr>
                <w:rFonts w:asciiTheme="minorHAnsi" w:hAnsiTheme="minorHAnsi" w:cstheme="minorHAnsi"/>
                <w:bCs/>
                <w:sz w:val="24"/>
                <w:szCs w:val="24"/>
              </w:rPr>
              <w:tab/>
            </w:r>
          </w:p>
        </w:tc>
        <w:tc>
          <w:tcPr>
            <w:tcW w:w="5131" w:type="dxa"/>
            <w:tcBorders>
              <w:top w:val="single" w:sz="4" w:space="0" w:color="auto"/>
              <w:left w:val="single" w:sz="4" w:space="0" w:color="auto"/>
              <w:bottom w:val="single" w:sz="4" w:space="0" w:color="auto"/>
              <w:right w:val="single" w:sz="4" w:space="0" w:color="auto"/>
            </w:tcBorders>
            <w:hideMark/>
          </w:tcPr>
          <w:p w14:paraId="67F26145" w14:textId="77777777" w:rsidR="00D65E53" w:rsidRPr="00D65E53" w:rsidRDefault="00D65E53">
            <w:pPr>
              <w:rPr>
                <w:rFonts w:cstheme="minorHAnsi"/>
                <w:bCs/>
                <w:sz w:val="24"/>
                <w:szCs w:val="24"/>
              </w:rPr>
            </w:pPr>
            <w:r w:rsidRPr="00D65E53">
              <w:rPr>
                <w:rFonts w:cstheme="minorHAnsi"/>
                <w:bCs/>
                <w:sz w:val="24"/>
                <w:szCs w:val="24"/>
              </w:rPr>
              <w:t>Enseignement supérieur et recherche scientifique</w:t>
            </w:r>
          </w:p>
        </w:tc>
      </w:tr>
      <w:tr w:rsidR="00D65E53" w14:paraId="3F54D9DF" w14:textId="77777777" w:rsidTr="00043D2A">
        <w:tc>
          <w:tcPr>
            <w:tcW w:w="3936" w:type="dxa"/>
            <w:tcBorders>
              <w:top w:val="single" w:sz="4" w:space="0" w:color="auto"/>
              <w:left w:val="single" w:sz="4" w:space="0" w:color="auto"/>
              <w:bottom w:val="single" w:sz="4" w:space="0" w:color="auto"/>
              <w:right w:val="single" w:sz="4" w:space="0" w:color="auto"/>
            </w:tcBorders>
            <w:hideMark/>
          </w:tcPr>
          <w:p w14:paraId="5305DF2D" w14:textId="77777777" w:rsidR="00D65E53" w:rsidRPr="00D65E53" w:rsidRDefault="00D65E53">
            <w:pPr>
              <w:pStyle w:val="Textebrut"/>
              <w:rPr>
                <w:rFonts w:asciiTheme="minorHAnsi" w:hAnsiTheme="minorHAnsi" w:cstheme="minorHAnsi"/>
                <w:bCs/>
                <w:sz w:val="24"/>
                <w:szCs w:val="24"/>
              </w:rPr>
            </w:pPr>
            <w:r w:rsidRPr="00D65E53">
              <w:rPr>
                <w:rFonts w:asciiTheme="minorHAnsi" w:hAnsiTheme="minorHAnsi" w:cstheme="minorHAnsi"/>
                <w:bCs/>
                <w:sz w:val="24"/>
                <w:szCs w:val="24"/>
              </w:rPr>
              <w:t>Manel Ouelhezi</w:t>
            </w:r>
          </w:p>
        </w:tc>
        <w:tc>
          <w:tcPr>
            <w:tcW w:w="5131" w:type="dxa"/>
            <w:tcBorders>
              <w:top w:val="single" w:sz="4" w:space="0" w:color="auto"/>
              <w:left w:val="single" w:sz="4" w:space="0" w:color="auto"/>
              <w:bottom w:val="single" w:sz="4" w:space="0" w:color="auto"/>
              <w:right w:val="single" w:sz="4" w:space="0" w:color="auto"/>
            </w:tcBorders>
            <w:hideMark/>
          </w:tcPr>
          <w:p w14:paraId="234F96B1" w14:textId="77777777" w:rsidR="00D65E53" w:rsidRPr="00D65E53" w:rsidRDefault="00D65E53">
            <w:pPr>
              <w:rPr>
                <w:rFonts w:cstheme="minorHAnsi"/>
                <w:bCs/>
                <w:sz w:val="24"/>
                <w:szCs w:val="24"/>
              </w:rPr>
            </w:pPr>
            <w:r w:rsidRPr="00D65E53">
              <w:rPr>
                <w:rFonts w:cstheme="minorHAnsi"/>
                <w:bCs/>
                <w:sz w:val="24"/>
                <w:szCs w:val="24"/>
              </w:rPr>
              <w:t>Affaires sociales</w:t>
            </w:r>
          </w:p>
        </w:tc>
      </w:tr>
      <w:tr w:rsidR="00D65E53" w14:paraId="6C0FD6BE" w14:textId="77777777" w:rsidTr="00043D2A">
        <w:tc>
          <w:tcPr>
            <w:tcW w:w="3936" w:type="dxa"/>
            <w:tcBorders>
              <w:top w:val="single" w:sz="4" w:space="0" w:color="auto"/>
              <w:left w:val="single" w:sz="4" w:space="0" w:color="auto"/>
              <w:bottom w:val="single" w:sz="4" w:space="0" w:color="auto"/>
              <w:right w:val="single" w:sz="4" w:space="0" w:color="auto"/>
            </w:tcBorders>
            <w:hideMark/>
          </w:tcPr>
          <w:p w14:paraId="3537041F" w14:textId="77777777" w:rsidR="00D65E53" w:rsidRPr="00D65E53" w:rsidRDefault="00D65E53">
            <w:pPr>
              <w:pStyle w:val="Textebrut"/>
              <w:rPr>
                <w:rFonts w:asciiTheme="minorHAnsi" w:hAnsiTheme="minorHAnsi" w:cstheme="minorHAnsi"/>
                <w:bCs/>
                <w:sz w:val="24"/>
                <w:szCs w:val="24"/>
              </w:rPr>
            </w:pPr>
            <w:r w:rsidRPr="00D65E53">
              <w:rPr>
                <w:rFonts w:asciiTheme="minorHAnsi" w:hAnsiTheme="minorHAnsi" w:cstheme="minorHAnsi"/>
                <w:bCs/>
                <w:sz w:val="24"/>
                <w:szCs w:val="24"/>
              </w:rPr>
              <w:t>Samira Ben Khadher</w:t>
            </w:r>
          </w:p>
        </w:tc>
        <w:tc>
          <w:tcPr>
            <w:tcW w:w="5131" w:type="dxa"/>
            <w:tcBorders>
              <w:top w:val="single" w:sz="4" w:space="0" w:color="auto"/>
              <w:left w:val="single" w:sz="4" w:space="0" w:color="auto"/>
              <w:bottom w:val="single" w:sz="4" w:space="0" w:color="auto"/>
              <w:right w:val="single" w:sz="4" w:space="0" w:color="auto"/>
            </w:tcBorders>
            <w:hideMark/>
          </w:tcPr>
          <w:p w14:paraId="1AA5F760" w14:textId="77777777" w:rsidR="00D65E53" w:rsidRPr="00D65E53" w:rsidRDefault="00D65E53">
            <w:pPr>
              <w:rPr>
                <w:rFonts w:cstheme="minorHAnsi"/>
                <w:bCs/>
                <w:sz w:val="24"/>
                <w:szCs w:val="24"/>
              </w:rPr>
            </w:pPr>
            <w:r w:rsidRPr="00D65E53">
              <w:rPr>
                <w:rFonts w:cstheme="minorHAnsi"/>
                <w:bCs/>
                <w:sz w:val="24"/>
                <w:szCs w:val="24"/>
              </w:rPr>
              <w:t>la Femme, de la Famille et de l’Enfance</w:t>
            </w:r>
          </w:p>
        </w:tc>
      </w:tr>
      <w:tr w:rsidR="00D65E53" w14:paraId="00B4F0B4" w14:textId="77777777" w:rsidTr="00043D2A">
        <w:tc>
          <w:tcPr>
            <w:tcW w:w="3936" w:type="dxa"/>
            <w:tcBorders>
              <w:top w:val="single" w:sz="4" w:space="0" w:color="auto"/>
              <w:left w:val="single" w:sz="4" w:space="0" w:color="auto"/>
              <w:bottom w:val="single" w:sz="4" w:space="0" w:color="auto"/>
              <w:right w:val="single" w:sz="4" w:space="0" w:color="auto"/>
            </w:tcBorders>
            <w:hideMark/>
          </w:tcPr>
          <w:p w14:paraId="36AE320E" w14:textId="77777777" w:rsidR="00D65E53" w:rsidRPr="00D65E53" w:rsidRDefault="00D65E53">
            <w:pPr>
              <w:pStyle w:val="Textebrut"/>
              <w:rPr>
                <w:rFonts w:asciiTheme="minorHAnsi" w:hAnsiTheme="minorHAnsi" w:cstheme="minorHAnsi"/>
                <w:bCs/>
                <w:sz w:val="24"/>
                <w:szCs w:val="24"/>
              </w:rPr>
            </w:pPr>
            <w:r w:rsidRPr="00D65E53">
              <w:rPr>
                <w:rFonts w:asciiTheme="minorHAnsi" w:hAnsiTheme="minorHAnsi" w:cstheme="minorHAnsi"/>
                <w:bCs/>
                <w:sz w:val="24"/>
                <w:szCs w:val="24"/>
              </w:rPr>
              <w:t>Warda Sakhri</w:t>
            </w:r>
          </w:p>
        </w:tc>
        <w:tc>
          <w:tcPr>
            <w:tcW w:w="5131" w:type="dxa"/>
            <w:tcBorders>
              <w:top w:val="single" w:sz="4" w:space="0" w:color="auto"/>
              <w:left w:val="single" w:sz="4" w:space="0" w:color="auto"/>
              <w:bottom w:val="single" w:sz="4" w:space="0" w:color="auto"/>
              <w:right w:val="single" w:sz="4" w:space="0" w:color="auto"/>
            </w:tcBorders>
            <w:hideMark/>
          </w:tcPr>
          <w:p w14:paraId="53C326D1" w14:textId="77777777" w:rsidR="00D65E53" w:rsidRPr="00D65E53" w:rsidRDefault="00D65E53">
            <w:pPr>
              <w:rPr>
                <w:rFonts w:cstheme="minorHAnsi"/>
                <w:bCs/>
                <w:sz w:val="24"/>
                <w:szCs w:val="24"/>
              </w:rPr>
            </w:pPr>
            <w:r w:rsidRPr="00D65E53">
              <w:rPr>
                <w:rFonts w:cstheme="minorHAnsi"/>
                <w:bCs/>
                <w:sz w:val="24"/>
                <w:szCs w:val="24"/>
              </w:rPr>
              <w:t>la Femme, de la Famille et de l’Enfance</w:t>
            </w:r>
          </w:p>
        </w:tc>
      </w:tr>
      <w:tr w:rsidR="00D65E53" w14:paraId="3A515F5C" w14:textId="77777777" w:rsidTr="00043D2A">
        <w:tc>
          <w:tcPr>
            <w:tcW w:w="3936" w:type="dxa"/>
            <w:tcBorders>
              <w:top w:val="single" w:sz="4" w:space="0" w:color="auto"/>
              <w:left w:val="single" w:sz="4" w:space="0" w:color="auto"/>
              <w:bottom w:val="single" w:sz="4" w:space="0" w:color="auto"/>
              <w:right w:val="single" w:sz="4" w:space="0" w:color="auto"/>
            </w:tcBorders>
            <w:hideMark/>
          </w:tcPr>
          <w:p w14:paraId="3882D586" w14:textId="77777777" w:rsidR="00D65E53" w:rsidRPr="00D65E53" w:rsidRDefault="00D65E53">
            <w:pPr>
              <w:pStyle w:val="Textebrut"/>
              <w:rPr>
                <w:rFonts w:asciiTheme="minorHAnsi" w:hAnsiTheme="minorHAnsi" w:cstheme="minorHAnsi"/>
                <w:bCs/>
                <w:sz w:val="24"/>
                <w:szCs w:val="24"/>
              </w:rPr>
            </w:pPr>
            <w:r w:rsidRPr="00D65E53">
              <w:rPr>
                <w:rFonts w:asciiTheme="minorHAnsi" w:hAnsiTheme="minorHAnsi" w:cstheme="minorHAnsi"/>
                <w:bCs/>
                <w:sz w:val="24"/>
                <w:szCs w:val="24"/>
              </w:rPr>
              <w:t>Faysal Yackoubi</w:t>
            </w:r>
          </w:p>
        </w:tc>
        <w:tc>
          <w:tcPr>
            <w:tcW w:w="5131" w:type="dxa"/>
            <w:tcBorders>
              <w:top w:val="single" w:sz="4" w:space="0" w:color="auto"/>
              <w:left w:val="single" w:sz="4" w:space="0" w:color="auto"/>
              <w:bottom w:val="single" w:sz="4" w:space="0" w:color="auto"/>
              <w:right w:val="single" w:sz="4" w:space="0" w:color="auto"/>
            </w:tcBorders>
            <w:hideMark/>
          </w:tcPr>
          <w:p w14:paraId="0E464F00" w14:textId="77777777" w:rsidR="00D65E53" w:rsidRPr="00D65E53" w:rsidRDefault="00D65E53">
            <w:pPr>
              <w:rPr>
                <w:rFonts w:cstheme="minorHAnsi"/>
                <w:bCs/>
                <w:sz w:val="24"/>
                <w:szCs w:val="24"/>
              </w:rPr>
            </w:pPr>
            <w:r w:rsidRPr="00D65E53">
              <w:rPr>
                <w:rFonts w:cstheme="minorHAnsi"/>
                <w:bCs/>
                <w:sz w:val="24"/>
                <w:szCs w:val="24"/>
              </w:rPr>
              <w:t>Ministère de la défense nationale</w:t>
            </w:r>
          </w:p>
        </w:tc>
      </w:tr>
      <w:tr w:rsidR="00D65E53" w14:paraId="070FC8B9" w14:textId="77777777" w:rsidTr="00043D2A">
        <w:tc>
          <w:tcPr>
            <w:tcW w:w="3936" w:type="dxa"/>
            <w:tcBorders>
              <w:top w:val="single" w:sz="4" w:space="0" w:color="auto"/>
              <w:left w:val="single" w:sz="4" w:space="0" w:color="auto"/>
              <w:bottom w:val="single" w:sz="4" w:space="0" w:color="auto"/>
              <w:right w:val="single" w:sz="4" w:space="0" w:color="auto"/>
            </w:tcBorders>
            <w:hideMark/>
          </w:tcPr>
          <w:p w14:paraId="5EC41447" w14:textId="77777777" w:rsidR="00D65E53" w:rsidRPr="00D65E53" w:rsidRDefault="00D65E53">
            <w:pPr>
              <w:pStyle w:val="Textebrut"/>
              <w:rPr>
                <w:rFonts w:asciiTheme="minorHAnsi" w:hAnsiTheme="minorHAnsi" w:cstheme="minorHAnsi"/>
                <w:bCs/>
                <w:sz w:val="24"/>
                <w:szCs w:val="24"/>
              </w:rPr>
            </w:pPr>
            <w:r w:rsidRPr="00D65E53">
              <w:rPr>
                <w:rFonts w:asciiTheme="minorHAnsi" w:hAnsiTheme="minorHAnsi" w:cstheme="minorHAnsi"/>
                <w:bCs/>
                <w:sz w:val="24"/>
                <w:szCs w:val="24"/>
              </w:rPr>
              <w:t>Nawel Boujnah</w:t>
            </w:r>
          </w:p>
        </w:tc>
        <w:tc>
          <w:tcPr>
            <w:tcW w:w="5131" w:type="dxa"/>
            <w:tcBorders>
              <w:top w:val="single" w:sz="4" w:space="0" w:color="auto"/>
              <w:left w:val="single" w:sz="4" w:space="0" w:color="auto"/>
              <w:bottom w:val="single" w:sz="4" w:space="0" w:color="auto"/>
              <w:right w:val="single" w:sz="4" w:space="0" w:color="auto"/>
            </w:tcBorders>
            <w:hideMark/>
          </w:tcPr>
          <w:p w14:paraId="234AC90D" w14:textId="77777777" w:rsidR="00D65E53" w:rsidRPr="00D65E53" w:rsidRDefault="00D65E53">
            <w:pPr>
              <w:rPr>
                <w:rFonts w:cstheme="minorHAnsi"/>
                <w:bCs/>
                <w:sz w:val="24"/>
                <w:szCs w:val="24"/>
              </w:rPr>
            </w:pPr>
            <w:r w:rsidRPr="00D65E53">
              <w:rPr>
                <w:rFonts w:cstheme="minorHAnsi"/>
                <w:bCs/>
                <w:sz w:val="24"/>
                <w:szCs w:val="24"/>
              </w:rPr>
              <w:t>Ministère de la jeunesse et des sports</w:t>
            </w:r>
          </w:p>
        </w:tc>
      </w:tr>
      <w:tr w:rsidR="00D65E53" w14:paraId="49B7DB7C" w14:textId="77777777" w:rsidTr="00043D2A">
        <w:tc>
          <w:tcPr>
            <w:tcW w:w="3936" w:type="dxa"/>
            <w:tcBorders>
              <w:top w:val="single" w:sz="4" w:space="0" w:color="auto"/>
              <w:left w:val="single" w:sz="4" w:space="0" w:color="auto"/>
              <w:bottom w:val="single" w:sz="4" w:space="0" w:color="auto"/>
              <w:right w:val="single" w:sz="4" w:space="0" w:color="auto"/>
            </w:tcBorders>
            <w:hideMark/>
          </w:tcPr>
          <w:p w14:paraId="03942240" w14:textId="77777777" w:rsidR="00D65E53" w:rsidRPr="00D65E53" w:rsidRDefault="00D65E53">
            <w:pPr>
              <w:pStyle w:val="Textebrut"/>
              <w:rPr>
                <w:rFonts w:asciiTheme="minorHAnsi" w:hAnsiTheme="minorHAnsi" w:cstheme="minorHAnsi"/>
                <w:bCs/>
                <w:sz w:val="24"/>
                <w:szCs w:val="24"/>
              </w:rPr>
            </w:pPr>
            <w:r w:rsidRPr="00D65E53">
              <w:rPr>
                <w:rFonts w:asciiTheme="minorHAnsi" w:hAnsiTheme="minorHAnsi" w:cstheme="minorHAnsi"/>
                <w:bCs/>
                <w:sz w:val="24"/>
                <w:szCs w:val="24"/>
              </w:rPr>
              <w:t xml:space="preserve">Wafa Ben Romdhan </w:t>
            </w:r>
          </w:p>
        </w:tc>
        <w:tc>
          <w:tcPr>
            <w:tcW w:w="5131" w:type="dxa"/>
            <w:tcBorders>
              <w:top w:val="single" w:sz="4" w:space="0" w:color="auto"/>
              <w:left w:val="single" w:sz="4" w:space="0" w:color="auto"/>
              <w:bottom w:val="single" w:sz="4" w:space="0" w:color="auto"/>
              <w:right w:val="single" w:sz="4" w:space="0" w:color="auto"/>
            </w:tcBorders>
            <w:hideMark/>
          </w:tcPr>
          <w:p w14:paraId="64F297D6" w14:textId="77777777" w:rsidR="00D65E53" w:rsidRPr="00D65E53" w:rsidRDefault="00D65E53">
            <w:pPr>
              <w:rPr>
                <w:rFonts w:cstheme="minorHAnsi"/>
                <w:bCs/>
                <w:sz w:val="24"/>
                <w:szCs w:val="24"/>
              </w:rPr>
            </w:pPr>
            <w:r w:rsidRPr="00D65E53">
              <w:rPr>
                <w:rFonts w:cstheme="minorHAnsi"/>
                <w:bCs/>
                <w:sz w:val="24"/>
                <w:szCs w:val="24"/>
              </w:rPr>
              <w:t>Gouvernorat de Tunis</w:t>
            </w:r>
          </w:p>
        </w:tc>
      </w:tr>
      <w:tr w:rsidR="00D65E53" w14:paraId="1AE2ED16" w14:textId="77777777" w:rsidTr="00043D2A">
        <w:tc>
          <w:tcPr>
            <w:tcW w:w="3936" w:type="dxa"/>
            <w:tcBorders>
              <w:top w:val="single" w:sz="4" w:space="0" w:color="auto"/>
              <w:left w:val="single" w:sz="4" w:space="0" w:color="auto"/>
              <w:bottom w:val="single" w:sz="4" w:space="0" w:color="auto"/>
              <w:right w:val="single" w:sz="4" w:space="0" w:color="auto"/>
            </w:tcBorders>
            <w:hideMark/>
          </w:tcPr>
          <w:p w14:paraId="2D6C0FB8" w14:textId="77777777" w:rsidR="00D65E53" w:rsidRPr="00D65E53" w:rsidRDefault="00D65E53">
            <w:pPr>
              <w:pStyle w:val="Textebrut"/>
              <w:rPr>
                <w:rFonts w:asciiTheme="minorHAnsi" w:hAnsiTheme="minorHAnsi" w:cstheme="minorHAnsi"/>
                <w:bCs/>
                <w:sz w:val="24"/>
                <w:szCs w:val="24"/>
              </w:rPr>
            </w:pPr>
            <w:r w:rsidRPr="00D65E53">
              <w:rPr>
                <w:rFonts w:asciiTheme="minorHAnsi" w:hAnsiTheme="minorHAnsi" w:cstheme="minorHAnsi"/>
                <w:bCs/>
                <w:sz w:val="24"/>
                <w:szCs w:val="24"/>
              </w:rPr>
              <w:t>Mongi Oueslati</w:t>
            </w:r>
          </w:p>
        </w:tc>
        <w:tc>
          <w:tcPr>
            <w:tcW w:w="5131" w:type="dxa"/>
            <w:tcBorders>
              <w:top w:val="single" w:sz="4" w:space="0" w:color="auto"/>
              <w:left w:val="single" w:sz="4" w:space="0" w:color="auto"/>
              <w:bottom w:val="single" w:sz="4" w:space="0" w:color="auto"/>
              <w:right w:val="single" w:sz="4" w:space="0" w:color="auto"/>
            </w:tcBorders>
            <w:hideMark/>
          </w:tcPr>
          <w:p w14:paraId="25A3E05C" w14:textId="77777777" w:rsidR="00D65E53" w:rsidRPr="00D65E53" w:rsidRDefault="00D65E53">
            <w:pPr>
              <w:rPr>
                <w:rFonts w:cstheme="minorHAnsi"/>
                <w:bCs/>
                <w:sz w:val="24"/>
                <w:szCs w:val="24"/>
              </w:rPr>
            </w:pPr>
            <w:r w:rsidRPr="00D65E53">
              <w:rPr>
                <w:rFonts w:cstheme="minorHAnsi"/>
                <w:bCs/>
                <w:sz w:val="24"/>
                <w:szCs w:val="24"/>
              </w:rPr>
              <w:t>Expert indépendant</w:t>
            </w:r>
          </w:p>
        </w:tc>
      </w:tr>
      <w:tr w:rsidR="00D65E53" w14:paraId="3B24E7E4" w14:textId="77777777" w:rsidTr="00043D2A">
        <w:tc>
          <w:tcPr>
            <w:tcW w:w="3936" w:type="dxa"/>
            <w:tcBorders>
              <w:top w:val="single" w:sz="4" w:space="0" w:color="auto"/>
              <w:left w:val="single" w:sz="4" w:space="0" w:color="auto"/>
              <w:bottom w:val="single" w:sz="4" w:space="0" w:color="auto"/>
              <w:right w:val="single" w:sz="4" w:space="0" w:color="auto"/>
            </w:tcBorders>
            <w:hideMark/>
          </w:tcPr>
          <w:p w14:paraId="0EAE194C" w14:textId="77777777" w:rsidR="00D65E53" w:rsidRPr="00D65E53" w:rsidRDefault="00D65E53">
            <w:pPr>
              <w:pStyle w:val="Textebrut"/>
              <w:rPr>
                <w:rFonts w:asciiTheme="minorHAnsi" w:hAnsiTheme="minorHAnsi" w:cstheme="minorHAnsi"/>
                <w:bCs/>
                <w:sz w:val="24"/>
                <w:szCs w:val="24"/>
              </w:rPr>
            </w:pPr>
            <w:r w:rsidRPr="00D65E53">
              <w:rPr>
                <w:rFonts w:asciiTheme="minorHAnsi" w:hAnsiTheme="minorHAnsi" w:cstheme="minorHAnsi"/>
                <w:bCs/>
                <w:sz w:val="24"/>
                <w:szCs w:val="24"/>
              </w:rPr>
              <w:t>Mohamed Ali Trabelsi</w:t>
            </w:r>
          </w:p>
        </w:tc>
        <w:tc>
          <w:tcPr>
            <w:tcW w:w="5131" w:type="dxa"/>
            <w:tcBorders>
              <w:top w:val="single" w:sz="4" w:space="0" w:color="auto"/>
              <w:left w:val="single" w:sz="4" w:space="0" w:color="auto"/>
              <w:bottom w:val="single" w:sz="4" w:space="0" w:color="auto"/>
              <w:right w:val="single" w:sz="4" w:space="0" w:color="auto"/>
            </w:tcBorders>
            <w:hideMark/>
          </w:tcPr>
          <w:p w14:paraId="480D23D8" w14:textId="77777777" w:rsidR="00D65E53" w:rsidRPr="00D65E53" w:rsidRDefault="00D65E53">
            <w:pPr>
              <w:rPr>
                <w:rFonts w:cstheme="minorHAnsi"/>
                <w:bCs/>
                <w:sz w:val="24"/>
                <w:szCs w:val="24"/>
              </w:rPr>
            </w:pPr>
            <w:r w:rsidRPr="00D65E53">
              <w:rPr>
                <w:rFonts w:cstheme="minorHAnsi"/>
                <w:bCs/>
                <w:sz w:val="24"/>
                <w:szCs w:val="24"/>
              </w:rPr>
              <w:t>Ministère de la jeunesse et des sports</w:t>
            </w:r>
          </w:p>
        </w:tc>
      </w:tr>
      <w:tr w:rsidR="00D65E53" w14:paraId="04759C13" w14:textId="77777777" w:rsidTr="00043D2A">
        <w:tc>
          <w:tcPr>
            <w:tcW w:w="3936" w:type="dxa"/>
            <w:tcBorders>
              <w:top w:val="single" w:sz="4" w:space="0" w:color="auto"/>
              <w:left w:val="single" w:sz="4" w:space="0" w:color="auto"/>
              <w:bottom w:val="single" w:sz="4" w:space="0" w:color="auto"/>
              <w:right w:val="single" w:sz="4" w:space="0" w:color="auto"/>
            </w:tcBorders>
            <w:hideMark/>
          </w:tcPr>
          <w:p w14:paraId="11E0E82D" w14:textId="77777777" w:rsidR="00D65E53" w:rsidRPr="00D65E53" w:rsidRDefault="00D65E53">
            <w:pPr>
              <w:pStyle w:val="Textebrut"/>
              <w:rPr>
                <w:rFonts w:asciiTheme="minorHAnsi" w:hAnsiTheme="minorHAnsi" w:cstheme="minorHAnsi"/>
                <w:bCs/>
                <w:sz w:val="24"/>
                <w:szCs w:val="24"/>
              </w:rPr>
            </w:pPr>
            <w:r w:rsidRPr="00D65E53">
              <w:rPr>
                <w:rFonts w:asciiTheme="minorHAnsi" w:hAnsiTheme="minorHAnsi" w:cstheme="minorHAnsi"/>
                <w:bCs/>
                <w:sz w:val="24"/>
                <w:szCs w:val="24"/>
              </w:rPr>
              <w:t>Safa Hadj Fredj</w:t>
            </w:r>
          </w:p>
        </w:tc>
        <w:tc>
          <w:tcPr>
            <w:tcW w:w="5131" w:type="dxa"/>
            <w:tcBorders>
              <w:top w:val="single" w:sz="4" w:space="0" w:color="auto"/>
              <w:left w:val="single" w:sz="4" w:space="0" w:color="auto"/>
              <w:bottom w:val="single" w:sz="4" w:space="0" w:color="auto"/>
              <w:right w:val="single" w:sz="4" w:space="0" w:color="auto"/>
            </w:tcBorders>
            <w:hideMark/>
          </w:tcPr>
          <w:p w14:paraId="7C37D1B9" w14:textId="77777777" w:rsidR="00D65E53" w:rsidRPr="00D65E53" w:rsidRDefault="00D65E53">
            <w:pPr>
              <w:rPr>
                <w:rFonts w:cstheme="minorHAnsi"/>
                <w:bCs/>
                <w:sz w:val="24"/>
                <w:szCs w:val="24"/>
              </w:rPr>
            </w:pPr>
            <w:r w:rsidRPr="00D65E53">
              <w:rPr>
                <w:rFonts w:cstheme="minorHAnsi"/>
                <w:bCs/>
                <w:sz w:val="24"/>
                <w:szCs w:val="24"/>
              </w:rPr>
              <w:t>Présidence du gouvernement</w:t>
            </w:r>
          </w:p>
        </w:tc>
      </w:tr>
      <w:tr w:rsidR="00D65E53" w14:paraId="1229B190" w14:textId="77777777" w:rsidTr="00043D2A">
        <w:tc>
          <w:tcPr>
            <w:tcW w:w="3936" w:type="dxa"/>
            <w:tcBorders>
              <w:top w:val="single" w:sz="4" w:space="0" w:color="auto"/>
              <w:left w:val="single" w:sz="4" w:space="0" w:color="auto"/>
              <w:bottom w:val="single" w:sz="4" w:space="0" w:color="auto"/>
              <w:right w:val="single" w:sz="4" w:space="0" w:color="auto"/>
            </w:tcBorders>
            <w:hideMark/>
          </w:tcPr>
          <w:p w14:paraId="2EF12DBD" w14:textId="77777777" w:rsidR="00D65E53" w:rsidRPr="00D65E53" w:rsidRDefault="00D65E53">
            <w:pPr>
              <w:pStyle w:val="Textebrut"/>
              <w:rPr>
                <w:rFonts w:asciiTheme="minorHAnsi" w:hAnsiTheme="minorHAnsi" w:cstheme="minorHAnsi"/>
                <w:bCs/>
                <w:sz w:val="24"/>
                <w:szCs w:val="24"/>
              </w:rPr>
            </w:pPr>
            <w:r w:rsidRPr="00D65E53">
              <w:rPr>
                <w:rFonts w:asciiTheme="minorHAnsi" w:hAnsiTheme="minorHAnsi" w:cstheme="minorHAnsi"/>
                <w:bCs/>
                <w:sz w:val="24"/>
                <w:szCs w:val="24"/>
              </w:rPr>
              <w:t>Houssine Bouthouri</w:t>
            </w:r>
          </w:p>
        </w:tc>
        <w:tc>
          <w:tcPr>
            <w:tcW w:w="5131" w:type="dxa"/>
            <w:tcBorders>
              <w:top w:val="single" w:sz="4" w:space="0" w:color="auto"/>
              <w:left w:val="single" w:sz="4" w:space="0" w:color="auto"/>
              <w:bottom w:val="single" w:sz="4" w:space="0" w:color="auto"/>
              <w:right w:val="single" w:sz="4" w:space="0" w:color="auto"/>
            </w:tcBorders>
            <w:hideMark/>
          </w:tcPr>
          <w:p w14:paraId="75748545" w14:textId="77777777" w:rsidR="00D65E53" w:rsidRPr="00D65E53" w:rsidRDefault="00D65E53">
            <w:pPr>
              <w:rPr>
                <w:rFonts w:cstheme="minorHAnsi"/>
                <w:bCs/>
                <w:sz w:val="24"/>
                <w:szCs w:val="24"/>
              </w:rPr>
            </w:pPr>
            <w:r w:rsidRPr="00D65E53">
              <w:rPr>
                <w:rFonts w:cstheme="minorHAnsi"/>
                <w:bCs/>
                <w:sz w:val="24"/>
                <w:szCs w:val="24"/>
              </w:rPr>
              <w:t xml:space="preserve">Ministère de l’agriculture </w:t>
            </w:r>
          </w:p>
        </w:tc>
      </w:tr>
      <w:tr w:rsidR="00D65E53" w14:paraId="308FAFFC" w14:textId="77777777" w:rsidTr="00043D2A">
        <w:tc>
          <w:tcPr>
            <w:tcW w:w="3936" w:type="dxa"/>
            <w:tcBorders>
              <w:top w:val="single" w:sz="4" w:space="0" w:color="auto"/>
              <w:left w:val="single" w:sz="4" w:space="0" w:color="auto"/>
              <w:bottom w:val="single" w:sz="4" w:space="0" w:color="auto"/>
              <w:right w:val="single" w:sz="4" w:space="0" w:color="auto"/>
            </w:tcBorders>
            <w:hideMark/>
          </w:tcPr>
          <w:p w14:paraId="648DA0C6" w14:textId="77777777" w:rsidR="00D65E53" w:rsidRPr="00D65E53" w:rsidRDefault="00D65E53">
            <w:pPr>
              <w:pStyle w:val="Textebrut"/>
              <w:rPr>
                <w:rFonts w:asciiTheme="minorHAnsi" w:hAnsiTheme="minorHAnsi" w:cstheme="minorHAnsi"/>
                <w:bCs/>
                <w:sz w:val="24"/>
                <w:szCs w:val="24"/>
              </w:rPr>
            </w:pPr>
            <w:r w:rsidRPr="00D65E53">
              <w:rPr>
                <w:rFonts w:asciiTheme="minorHAnsi" w:hAnsiTheme="minorHAnsi" w:cstheme="minorHAnsi"/>
                <w:bCs/>
                <w:sz w:val="24"/>
                <w:szCs w:val="24"/>
              </w:rPr>
              <w:t>Anis Ben Azzouz</w:t>
            </w:r>
          </w:p>
        </w:tc>
        <w:tc>
          <w:tcPr>
            <w:tcW w:w="5131" w:type="dxa"/>
            <w:tcBorders>
              <w:top w:val="single" w:sz="4" w:space="0" w:color="auto"/>
              <w:left w:val="single" w:sz="4" w:space="0" w:color="auto"/>
              <w:bottom w:val="single" w:sz="4" w:space="0" w:color="auto"/>
              <w:right w:val="single" w:sz="4" w:space="0" w:color="auto"/>
            </w:tcBorders>
            <w:hideMark/>
          </w:tcPr>
          <w:p w14:paraId="285DC65D" w14:textId="77777777" w:rsidR="00D65E53" w:rsidRPr="00D65E53" w:rsidRDefault="00D65E53">
            <w:pPr>
              <w:rPr>
                <w:rFonts w:cstheme="minorHAnsi"/>
                <w:bCs/>
                <w:sz w:val="24"/>
                <w:szCs w:val="24"/>
              </w:rPr>
            </w:pPr>
            <w:r w:rsidRPr="00D65E53">
              <w:rPr>
                <w:rFonts w:cstheme="minorHAnsi"/>
                <w:bCs/>
                <w:sz w:val="24"/>
                <w:szCs w:val="24"/>
              </w:rPr>
              <w:t>Ministère de l’industrie</w:t>
            </w:r>
          </w:p>
        </w:tc>
      </w:tr>
      <w:tr w:rsidR="00D65E53" w14:paraId="18E8DD0C" w14:textId="77777777" w:rsidTr="00043D2A">
        <w:tc>
          <w:tcPr>
            <w:tcW w:w="3936" w:type="dxa"/>
            <w:tcBorders>
              <w:top w:val="single" w:sz="4" w:space="0" w:color="auto"/>
              <w:left w:val="single" w:sz="4" w:space="0" w:color="auto"/>
              <w:bottom w:val="single" w:sz="4" w:space="0" w:color="auto"/>
              <w:right w:val="single" w:sz="4" w:space="0" w:color="auto"/>
            </w:tcBorders>
            <w:hideMark/>
          </w:tcPr>
          <w:p w14:paraId="135F13FE" w14:textId="77777777" w:rsidR="00D65E53" w:rsidRPr="00D65E53" w:rsidRDefault="00D65E53">
            <w:pPr>
              <w:pStyle w:val="Textebrut"/>
              <w:rPr>
                <w:rFonts w:asciiTheme="minorHAnsi" w:hAnsiTheme="minorHAnsi" w:cstheme="minorHAnsi"/>
                <w:bCs/>
                <w:sz w:val="24"/>
                <w:szCs w:val="24"/>
              </w:rPr>
            </w:pPr>
            <w:r w:rsidRPr="00D65E53">
              <w:rPr>
                <w:rFonts w:asciiTheme="minorHAnsi" w:hAnsiTheme="minorHAnsi" w:cstheme="minorHAnsi"/>
                <w:bCs/>
                <w:sz w:val="24"/>
                <w:szCs w:val="24"/>
              </w:rPr>
              <w:t>Samira Ben Hassine</w:t>
            </w:r>
          </w:p>
        </w:tc>
        <w:tc>
          <w:tcPr>
            <w:tcW w:w="5131" w:type="dxa"/>
            <w:tcBorders>
              <w:top w:val="single" w:sz="4" w:space="0" w:color="auto"/>
              <w:left w:val="single" w:sz="4" w:space="0" w:color="auto"/>
              <w:bottom w:val="single" w:sz="4" w:space="0" w:color="auto"/>
              <w:right w:val="single" w:sz="4" w:space="0" w:color="auto"/>
            </w:tcBorders>
            <w:hideMark/>
          </w:tcPr>
          <w:p w14:paraId="418EA8A7" w14:textId="77777777" w:rsidR="00D65E53" w:rsidRPr="00D65E53" w:rsidRDefault="00D65E53">
            <w:pPr>
              <w:rPr>
                <w:rFonts w:cstheme="minorHAnsi"/>
                <w:bCs/>
                <w:sz w:val="24"/>
                <w:szCs w:val="24"/>
              </w:rPr>
            </w:pPr>
            <w:r w:rsidRPr="00D65E53">
              <w:rPr>
                <w:rFonts w:cstheme="minorHAnsi"/>
                <w:bCs/>
                <w:sz w:val="24"/>
                <w:szCs w:val="24"/>
              </w:rPr>
              <w:t>Ministère de la jeunesse et des sports</w:t>
            </w:r>
          </w:p>
        </w:tc>
      </w:tr>
      <w:tr w:rsidR="00D65E53" w14:paraId="0AE9671F" w14:textId="77777777" w:rsidTr="00043D2A">
        <w:tc>
          <w:tcPr>
            <w:tcW w:w="3936" w:type="dxa"/>
            <w:tcBorders>
              <w:top w:val="single" w:sz="4" w:space="0" w:color="auto"/>
              <w:left w:val="single" w:sz="4" w:space="0" w:color="auto"/>
              <w:bottom w:val="single" w:sz="4" w:space="0" w:color="auto"/>
              <w:right w:val="single" w:sz="4" w:space="0" w:color="auto"/>
            </w:tcBorders>
            <w:hideMark/>
          </w:tcPr>
          <w:p w14:paraId="3874C8B0" w14:textId="77777777" w:rsidR="00D65E53" w:rsidRPr="00D65E53" w:rsidRDefault="00D65E53">
            <w:pPr>
              <w:pStyle w:val="Textebrut"/>
              <w:rPr>
                <w:rFonts w:asciiTheme="minorHAnsi" w:hAnsiTheme="minorHAnsi" w:cstheme="minorHAnsi"/>
                <w:bCs/>
                <w:sz w:val="24"/>
                <w:szCs w:val="24"/>
              </w:rPr>
            </w:pPr>
            <w:r w:rsidRPr="00D65E53">
              <w:rPr>
                <w:rFonts w:asciiTheme="minorHAnsi" w:hAnsiTheme="minorHAnsi" w:cstheme="minorHAnsi"/>
                <w:bCs/>
                <w:sz w:val="24"/>
                <w:szCs w:val="24"/>
              </w:rPr>
              <w:t>Majed Khalfallah</w:t>
            </w:r>
          </w:p>
        </w:tc>
        <w:tc>
          <w:tcPr>
            <w:tcW w:w="5131" w:type="dxa"/>
            <w:tcBorders>
              <w:top w:val="single" w:sz="4" w:space="0" w:color="auto"/>
              <w:left w:val="single" w:sz="4" w:space="0" w:color="auto"/>
              <w:bottom w:val="single" w:sz="4" w:space="0" w:color="auto"/>
              <w:right w:val="single" w:sz="4" w:space="0" w:color="auto"/>
            </w:tcBorders>
            <w:hideMark/>
          </w:tcPr>
          <w:p w14:paraId="7343CBAB" w14:textId="77777777" w:rsidR="00D65E53" w:rsidRPr="00D65E53" w:rsidRDefault="00D65E53">
            <w:pPr>
              <w:rPr>
                <w:rFonts w:cstheme="minorHAnsi"/>
                <w:bCs/>
                <w:sz w:val="24"/>
                <w:szCs w:val="24"/>
              </w:rPr>
            </w:pPr>
            <w:r w:rsidRPr="00D65E53">
              <w:rPr>
                <w:rFonts w:cstheme="minorHAnsi"/>
                <w:bCs/>
                <w:sz w:val="24"/>
                <w:szCs w:val="24"/>
              </w:rPr>
              <w:t>SONEDE</w:t>
            </w:r>
          </w:p>
        </w:tc>
      </w:tr>
      <w:tr w:rsidR="00D65E53" w14:paraId="19E4EF34" w14:textId="77777777" w:rsidTr="00043D2A">
        <w:tc>
          <w:tcPr>
            <w:tcW w:w="3936" w:type="dxa"/>
            <w:tcBorders>
              <w:top w:val="single" w:sz="4" w:space="0" w:color="auto"/>
              <w:left w:val="single" w:sz="4" w:space="0" w:color="auto"/>
              <w:bottom w:val="single" w:sz="4" w:space="0" w:color="auto"/>
              <w:right w:val="single" w:sz="4" w:space="0" w:color="auto"/>
            </w:tcBorders>
            <w:hideMark/>
          </w:tcPr>
          <w:p w14:paraId="3725B773" w14:textId="77777777" w:rsidR="00D65E53" w:rsidRPr="00D65E53" w:rsidRDefault="00D65E53">
            <w:pPr>
              <w:pStyle w:val="Textebrut"/>
              <w:rPr>
                <w:rFonts w:asciiTheme="minorHAnsi" w:hAnsiTheme="minorHAnsi" w:cstheme="minorHAnsi"/>
                <w:bCs/>
                <w:sz w:val="24"/>
                <w:szCs w:val="24"/>
              </w:rPr>
            </w:pPr>
            <w:r w:rsidRPr="00D65E53">
              <w:rPr>
                <w:rFonts w:asciiTheme="minorHAnsi" w:hAnsiTheme="minorHAnsi" w:cstheme="minorHAnsi"/>
                <w:bCs/>
                <w:sz w:val="24"/>
                <w:szCs w:val="24"/>
              </w:rPr>
              <w:t>Moncef  Mannai</w:t>
            </w:r>
          </w:p>
        </w:tc>
        <w:tc>
          <w:tcPr>
            <w:tcW w:w="5131" w:type="dxa"/>
            <w:tcBorders>
              <w:top w:val="single" w:sz="4" w:space="0" w:color="auto"/>
              <w:left w:val="single" w:sz="4" w:space="0" w:color="auto"/>
              <w:bottom w:val="single" w:sz="4" w:space="0" w:color="auto"/>
              <w:right w:val="single" w:sz="4" w:space="0" w:color="auto"/>
            </w:tcBorders>
            <w:hideMark/>
          </w:tcPr>
          <w:p w14:paraId="3CFB908B" w14:textId="77777777" w:rsidR="00D65E53" w:rsidRPr="00D65E53" w:rsidRDefault="00D65E53">
            <w:pPr>
              <w:rPr>
                <w:rFonts w:cstheme="minorHAnsi"/>
                <w:bCs/>
                <w:sz w:val="24"/>
                <w:szCs w:val="24"/>
              </w:rPr>
            </w:pPr>
            <w:r w:rsidRPr="00D65E53">
              <w:rPr>
                <w:rFonts w:cstheme="minorHAnsi"/>
                <w:bCs/>
                <w:sz w:val="24"/>
                <w:szCs w:val="24"/>
              </w:rPr>
              <w:t>Ministère des domaines de l’état</w:t>
            </w:r>
          </w:p>
        </w:tc>
      </w:tr>
      <w:tr w:rsidR="00D65E53" w14:paraId="4D041A65" w14:textId="77777777" w:rsidTr="00043D2A">
        <w:tc>
          <w:tcPr>
            <w:tcW w:w="3936" w:type="dxa"/>
            <w:tcBorders>
              <w:top w:val="single" w:sz="4" w:space="0" w:color="auto"/>
              <w:left w:val="single" w:sz="4" w:space="0" w:color="auto"/>
              <w:bottom w:val="single" w:sz="4" w:space="0" w:color="auto"/>
              <w:right w:val="single" w:sz="4" w:space="0" w:color="auto"/>
            </w:tcBorders>
            <w:hideMark/>
          </w:tcPr>
          <w:p w14:paraId="7EB95509" w14:textId="77777777" w:rsidR="00D65E53" w:rsidRPr="00D65E53" w:rsidRDefault="00D65E53">
            <w:pPr>
              <w:pStyle w:val="Textebrut"/>
              <w:rPr>
                <w:rFonts w:asciiTheme="minorHAnsi" w:hAnsiTheme="minorHAnsi" w:cstheme="minorHAnsi"/>
                <w:bCs/>
                <w:sz w:val="24"/>
                <w:szCs w:val="24"/>
              </w:rPr>
            </w:pPr>
            <w:r w:rsidRPr="00D65E53">
              <w:rPr>
                <w:rFonts w:asciiTheme="minorHAnsi" w:hAnsiTheme="minorHAnsi" w:cstheme="minorHAnsi"/>
                <w:bCs/>
                <w:sz w:val="24"/>
                <w:szCs w:val="24"/>
              </w:rPr>
              <w:t>Sawssen Ben Lakhdher</w:t>
            </w:r>
          </w:p>
        </w:tc>
        <w:tc>
          <w:tcPr>
            <w:tcW w:w="5131" w:type="dxa"/>
            <w:tcBorders>
              <w:top w:val="single" w:sz="4" w:space="0" w:color="auto"/>
              <w:left w:val="single" w:sz="4" w:space="0" w:color="auto"/>
              <w:bottom w:val="single" w:sz="4" w:space="0" w:color="auto"/>
              <w:right w:val="single" w:sz="4" w:space="0" w:color="auto"/>
            </w:tcBorders>
            <w:hideMark/>
          </w:tcPr>
          <w:p w14:paraId="27002E7C" w14:textId="77777777" w:rsidR="00D65E53" w:rsidRPr="00D65E53" w:rsidRDefault="00D65E53">
            <w:pPr>
              <w:rPr>
                <w:rFonts w:cstheme="minorHAnsi"/>
                <w:bCs/>
                <w:sz w:val="24"/>
                <w:szCs w:val="24"/>
              </w:rPr>
            </w:pPr>
            <w:r w:rsidRPr="00D65E53">
              <w:rPr>
                <w:rFonts w:cstheme="minorHAnsi"/>
                <w:bCs/>
                <w:sz w:val="24"/>
                <w:szCs w:val="24"/>
              </w:rPr>
              <w:t>FSVC</w:t>
            </w:r>
          </w:p>
        </w:tc>
      </w:tr>
      <w:tr w:rsidR="00D65E53" w14:paraId="51706FA5" w14:textId="77777777" w:rsidTr="00043D2A">
        <w:tc>
          <w:tcPr>
            <w:tcW w:w="3936" w:type="dxa"/>
            <w:tcBorders>
              <w:top w:val="single" w:sz="4" w:space="0" w:color="auto"/>
              <w:left w:val="single" w:sz="4" w:space="0" w:color="auto"/>
              <w:bottom w:val="single" w:sz="4" w:space="0" w:color="auto"/>
              <w:right w:val="single" w:sz="4" w:space="0" w:color="auto"/>
            </w:tcBorders>
            <w:hideMark/>
          </w:tcPr>
          <w:p w14:paraId="31757C3E" w14:textId="77777777" w:rsidR="00D65E53" w:rsidRPr="00D65E53" w:rsidRDefault="00D65E53">
            <w:pPr>
              <w:pStyle w:val="Textebrut"/>
              <w:rPr>
                <w:rFonts w:asciiTheme="minorHAnsi" w:hAnsiTheme="minorHAnsi" w:cstheme="minorHAnsi"/>
                <w:bCs/>
                <w:sz w:val="24"/>
                <w:szCs w:val="24"/>
              </w:rPr>
            </w:pPr>
            <w:r w:rsidRPr="00D65E53">
              <w:rPr>
                <w:rFonts w:asciiTheme="minorHAnsi" w:hAnsiTheme="minorHAnsi" w:cstheme="minorHAnsi"/>
                <w:bCs/>
                <w:sz w:val="24"/>
                <w:szCs w:val="24"/>
              </w:rPr>
              <w:t>Haithem  Hammami</w:t>
            </w:r>
          </w:p>
        </w:tc>
        <w:tc>
          <w:tcPr>
            <w:tcW w:w="5131" w:type="dxa"/>
            <w:tcBorders>
              <w:top w:val="single" w:sz="4" w:space="0" w:color="auto"/>
              <w:left w:val="single" w:sz="4" w:space="0" w:color="auto"/>
              <w:bottom w:val="single" w:sz="4" w:space="0" w:color="auto"/>
              <w:right w:val="single" w:sz="4" w:space="0" w:color="auto"/>
            </w:tcBorders>
            <w:hideMark/>
          </w:tcPr>
          <w:p w14:paraId="032C316A" w14:textId="77777777" w:rsidR="00D65E53" w:rsidRPr="00D65E53" w:rsidRDefault="00D65E53">
            <w:pPr>
              <w:rPr>
                <w:rFonts w:cstheme="minorHAnsi"/>
                <w:bCs/>
                <w:sz w:val="24"/>
                <w:szCs w:val="24"/>
              </w:rPr>
            </w:pPr>
            <w:r w:rsidRPr="00D65E53">
              <w:rPr>
                <w:rFonts w:cstheme="minorHAnsi"/>
                <w:bCs/>
                <w:sz w:val="24"/>
                <w:szCs w:val="24"/>
              </w:rPr>
              <w:t>ITCEP</w:t>
            </w:r>
          </w:p>
        </w:tc>
      </w:tr>
      <w:tr w:rsidR="00D65E53" w14:paraId="513B7516" w14:textId="77777777" w:rsidTr="00043D2A">
        <w:tc>
          <w:tcPr>
            <w:tcW w:w="3936" w:type="dxa"/>
            <w:tcBorders>
              <w:top w:val="single" w:sz="4" w:space="0" w:color="auto"/>
              <w:left w:val="single" w:sz="4" w:space="0" w:color="auto"/>
              <w:bottom w:val="single" w:sz="4" w:space="0" w:color="auto"/>
              <w:right w:val="single" w:sz="4" w:space="0" w:color="auto"/>
            </w:tcBorders>
            <w:hideMark/>
          </w:tcPr>
          <w:p w14:paraId="6177F95D" w14:textId="77777777" w:rsidR="00D65E53" w:rsidRPr="00D65E53" w:rsidRDefault="00D65E53">
            <w:pPr>
              <w:pStyle w:val="Textebrut"/>
              <w:rPr>
                <w:rFonts w:asciiTheme="minorHAnsi" w:hAnsiTheme="minorHAnsi" w:cstheme="minorHAnsi"/>
                <w:bCs/>
                <w:sz w:val="24"/>
                <w:szCs w:val="24"/>
              </w:rPr>
            </w:pPr>
            <w:r w:rsidRPr="00D65E53">
              <w:rPr>
                <w:rFonts w:asciiTheme="minorHAnsi" w:hAnsiTheme="minorHAnsi" w:cstheme="minorHAnsi"/>
                <w:bCs/>
                <w:sz w:val="24"/>
                <w:szCs w:val="24"/>
              </w:rPr>
              <w:t>Abdessattar Hentati</w:t>
            </w:r>
          </w:p>
        </w:tc>
        <w:tc>
          <w:tcPr>
            <w:tcW w:w="5131" w:type="dxa"/>
            <w:tcBorders>
              <w:top w:val="single" w:sz="4" w:space="0" w:color="auto"/>
              <w:left w:val="single" w:sz="4" w:space="0" w:color="auto"/>
              <w:bottom w:val="single" w:sz="4" w:space="0" w:color="auto"/>
              <w:right w:val="single" w:sz="4" w:space="0" w:color="auto"/>
            </w:tcBorders>
            <w:hideMark/>
          </w:tcPr>
          <w:p w14:paraId="52A64F42" w14:textId="77777777" w:rsidR="00D65E53" w:rsidRPr="00D65E53" w:rsidRDefault="00D65E53">
            <w:pPr>
              <w:rPr>
                <w:rFonts w:cstheme="minorHAnsi"/>
                <w:bCs/>
                <w:sz w:val="24"/>
                <w:szCs w:val="24"/>
              </w:rPr>
            </w:pPr>
            <w:r w:rsidRPr="00D65E53">
              <w:rPr>
                <w:rFonts w:cstheme="minorHAnsi"/>
                <w:bCs/>
                <w:sz w:val="24"/>
                <w:szCs w:val="24"/>
              </w:rPr>
              <w:t>Ministère des affaires religieuses</w:t>
            </w:r>
          </w:p>
        </w:tc>
      </w:tr>
      <w:tr w:rsidR="00D65E53" w14:paraId="60BA9363" w14:textId="77777777" w:rsidTr="00043D2A">
        <w:tc>
          <w:tcPr>
            <w:tcW w:w="3936" w:type="dxa"/>
            <w:tcBorders>
              <w:top w:val="single" w:sz="4" w:space="0" w:color="auto"/>
              <w:left w:val="single" w:sz="4" w:space="0" w:color="auto"/>
              <w:bottom w:val="single" w:sz="4" w:space="0" w:color="auto"/>
              <w:right w:val="single" w:sz="4" w:space="0" w:color="auto"/>
            </w:tcBorders>
            <w:hideMark/>
          </w:tcPr>
          <w:p w14:paraId="7107AC39" w14:textId="77777777" w:rsidR="00D65E53" w:rsidRPr="00D65E53" w:rsidRDefault="00D65E53">
            <w:pPr>
              <w:pStyle w:val="Textebrut"/>
              <w:rPr>
                <w:rFonts w:asciiTheme="minorHAnsi" w:hAnsiTheme="minorHAnsi" w:cstheme="minorHAnsi"/>
                <w:bCs/>
                <w:sz w:val="24"/>
                <w:szCs w:val="24"/>
              </w:rPr>
            </w:pPr>
            <w:r w:rsidRPr="00D65E53">
              <w:rPr>
                <w:rFonts w:asciiTheme="minorHAnsi" w:hAnsiTheme="minorHAnsi" w:cstheme="minorHAnsi"/>
                <w:bCs/>
                <w:sz w:val="24"/>
                <w:szCs w:val="24"/>
              </w:rPr>
              <w:t>Moez Dalloua</w:t>
            </w:r>
          </w:p>
        </w:tc>
        <w:tc>
          <w:tcPr>
            <w:tcW w:w="5131" w:type="dxa"/>
            <w:tcBorders>
              <w:top w:val="single" w:sz="4" w:space="0" w:color="auto"/>
              <w:left w:val="single" w:sz="4" w:space="0" w:color="auto"/>
              <w:bottom w:val="single" w:sz="4" w:space="0" w:color="auto"/>
              <w:right w:val="single" w:sz="4" w:space="0" w:color="auto"/>
            </w:tcBorders>
            <w:hideMark/>
          </w:tcPr>
          <w:p w14:paraId="4E6701BD" w14:textId="77777777" w:rsidR="00D65E53" w:rsidRPr="00D65E53" w:rsidRDefault="00D65E53">
            <w:pPr>
              <w:rPr>
                <w:rFonts w:cstheme="minorHAnsi"/>
                <w:bCs/>
                <w:sz w:val="24"/>
                <w:szCs w:val="24"/>
              </w:rPr>
            </w:pPr>
            <w:r w:rsidRPr="00D65E53">
              <w:rPr>
                <w:rFonts w:cstheme="minorHAnsi"/>
                <w:bCs/>
                <w:sz w:val="24"/>
                <w:szCs w:val="24"/>
              </w:rPr>
              <w:t>FSVC</w:t>
            </w:r>
          </w:p>
        </w:tc>
      </w:tr>
      <w:tr w:rsidR="00D65E53" w14:paraId="7D1745F0" w14:textId="77777777" w:rsidTr="00043D2A">
        <w:tc>
          <w:tcPr>
            <w:tcW w:w="3936" w:type="dxa"/>
            <w:tcBorders>
              <w:top w:val="single" w:sz="4" w:space="0" w:color="auto"/>
              <w:left w:val="single" w:sz="4" w:space="0" w:color="auto"/>
              <w:bottom w:val="single" w:sz="4" w:space="0" w:color="auto"/>
              <w:right w:val="single" w:sz="4" w:space="0" w:color="auto"/>
            </w:tcBorders>
            <w:hideMark/>
          </w:tcPr>
          <w:p w14:paraId="70B53419" w14:textId="77777777" w:rsidR="00D65E53" w:rsidRPr="00D65E53" w:rsidRDefault="00D65E53">
            <w:pPr>
              <w:pStyle w:val="Textebrut"/>
              <w:rPr>
                <w:rFonts w:asciiTheme="minorHAnsi" w:hAnsiTheme="minorHAnsi" w:cstheme="minorHAnsi"/>
                <w:bCs/>
                <w:sz w:val="24"/>
                <w:szCs w:val="24"/>
              </w:rPr>
            </w:pPr>
            <w:r w:rsidRPr="00D65E53">
              <w:rPr>
                <w:rFonts w:asciiTheme="minorHAnsi" w:hAnsiTheme="minorHAnsi" w:cstheme="minorHAnsi"/>
                <w:bCs/>
                <w:sz w:val="24"/>
                <w:szCs w:val="24"/>
              </w:rPr>
              <w:t>Hela Hedhili</w:t>
            </w:r>
          </w:p>
        </w:tc>
        <w:tc>
          <w:tcPr>
            <w:tcW w:w="5131" w:type="dxa"/>
            <w:tcBorders>
              <w:top w:val="single" w:sz="4" w:space="0" w:color="auto"/>
              <w:left w:val="single" w:sz="4" w:space="0" w:color="auto"/>
              <w:bottom w:val="single" w:sz="4" w:space="0" w:color="auto"/>
              <w:right w:val="single" w:sz="4" w:space="0" w:color="auto"/>
            </w:tcBorders>
            <w:hideMark/>
          </w:tcPr>
          <w:p w14:paraId="729C9BF0" w14:textId="77777777" w:rsidR="00D65E53" w:rsidRPr="00D65E53" w:rsidRDefault="00D65E53">
            <w:pPr>
              <w:rPr>
                <w:rFonts w:cstheme="minorHAnsi"/>
                <w:bCs/>
                <w:sz w:val="24"/>
                <w:szCs w:val="24"/>
              </w:rPr>
            </w:pPr>
            <w:r w:rsidRPr="00D65E53">
              <w:rPr>
                <w:rFonts w:cstheme="minorHAnsi"/>
                <w:bCs/>
                <w:sz w:val="24"/>
                <w:szCs w:val="24"/>
              </w:rPr>
              <w:t>Ministère de la santé</w:t>
            </w:r>
          </w:p>
        </w:tc>
      </w:tr>
      <w:tr w:rsidR="00D65E53" w14:paraId="058B241A" w14:textId="77777777" w:rsidTr="00043D2A">
        <w:tc>
          <w:tcPr>
            <w:tcW w:w="3936" w:type="dxa"/>
            <w:tcBorders>
              <w:top w:val="single" w:sz="4" w:space="0" w:color="auto"/>
              <w:left w:val="single" w:sz="4" w:space="0" w:color="auto"/>
              <w:bottom w:val="single" w:sz="4" w:space="0" w:color="auto"/>
              <w:right w:val="single" w:sz="4" w:space="0" w:color="auto"/>
            </w:tcBorders>
            <w:hideMark/>
          </w:tcPr>
          <w:p w14:paraId="00E2FCDB" w14:textId="77777777" w:rsidR="00D65E53" w:rsidRPr="00D65E53" w:rsidRDefault="00D65E53">
            <w:pPr>
              <w:pStyle w:val="Textebrut"/>
              <w:rPr>
                <w:rFonts w:asciiTheme="minorHAnsi" w:hAnsiTheme="minorHAnsi" w:cstheme="minorHAnsi"/>
                <w:bCs/>
                <w:sz w:val="24"/>
                <w:szCs w:val="24"/>
              </w:rPr>
            </w:pPr>
            <w:r w:rsidRPr="00D65E53">
              <w:rPr>
                <w:rFonts w:asciiTheme="minorHAnsi" w:hAnsiTheme="minorHAnsi" w:cstheme="minorHAnsi"/>
                <w:bCs/>
                <w:sz w:val="24"/>
                <w:szCs w:val="24"/>
              </w:rPr>
              <w:t>Besma Alaya</w:t>
            </w:r>
          </w:p>
        </w:tc>
        <w:tc>
          <w:tcPr>
            <w:tcW w:w="5131" w:type="dxa"/>
            <w:tcBorders>
              <w:top w:val="single" w:sz="4" w:space="0" w:color="auto"/>
              <w:left w:val="single" w:sz="4" w:space="0" w:color="auto"/>
              <w:bottom w:val="single" w:sz="4" w:space="0" w:color="auto"/>
              <w:right w:val="single" w:sz="4" w:space="0" w:color="auto"/>
            </w:tcBorders>
            <w:hideMark/>
          </w:tcPr>
          <w:p w14:paraId="1F0B09FE" w14:textId="77777777" w:rsidR="00D65E53" w:rsidRPr="00D65E53" w:rsidRDefault="00D65E53">
            <w:pPr>
              <w:rPr>
                <w:rFonts w:cstheme="minorHAnsi"/>
                <w:bCs/>
                <w:sz w:val="24"/>
                <w:szCs w:val="24"/>
              </w:rPr>
            </w:pPr>
            <w:r w:rsidRPr="00D65E53">
              <w:rPr>
                <w:rFonts w:cstheme="minorHAnsi"/>
                <w:bCs/>
                <w:sz w:val="24"/>
                <w:szCs w:val="24"/>
              </w:rPr>
              <w:t>Ministère de la santé</w:t>
            </w:r>
          </w:p>
        </w:tc>
      </w:tr>
      <w:tr w:rsidR="00D65E53" w14:paraId="1A013F8B" w14:textId="77777777" w:rsidTr="00043D2A">
        <w:tc>
          <w:tcPr>
            <w:tcW w:w="3936" w:type="dxa"/>
            <w:tcBorders>
              <w:top w:val="single" w:sz="4" w:space="0" w:color="auto"/>
              <w:left w:val="single" w:sz="4" w:space="0" w:color="auto"/>
              <w:bottom w:val="single" w:sz="4" w:space="0" w:color="auto"/>
              <w:right w:val="single" w:sz="4" w:space="0" w:color="auto"/>
            </w:tcBorders>
            <w:hideMark/>
          </w:tcPr>
          <w:p w14:paraId="45F4BBB8" w14:textId="77777777" w:rsidR="00D65E53" w:rsidRPr="00D65E53" w:rsidRDefault="00D65E53">
            <w:pPr>
              <w:pStyle w:val="Textebrut"/>
              <w:rPr>
                <w:rFonts w:asciiTheme="minorHAnsi" w:hAnsiTheme="minorHAnsi" w:cstheme="minorHAnsi"/>
                <w:bCs/>
                <w:sz w:val="24"/>
                <w:szCs w:val="24"/>
              </w:rPr>
            </w:pPr>
            <w:r w:rsidRPr="00D65E53">
              <w:rPr>
                <w:rFonts w:asciiTheme="minorHAnsi" w:hAnsiTheme="minorHAnsi" w:cstheme="minorHAnsi"/>
                <w:bCs/>
                <w:sz w:val="24"/>
                <w:szCs w:val="24"/>
              </w:rPr>
              <w:t>Siwar Douss</w:t>
            </w:r>
          </w:p>
        </w:tc>
        <w:tc>
          <w:tcPr>
            <w:tcW w:w="5131" w:type="dxa"/>
            <w:tcBorders>
              <w:top w:val="single" w:sz="4" w:space="0" w:color="auto"/>
              <w:left w:val="single" w:sz="4" w:space="0" w:color="auto"/>
              <w:bottom w:val="single" w:sz="4" w:space="0" w:color="auto"/>
              <w:right w:val="single" w:sz="4" w:space="0" w:color="auto"/>
            </w:tcBorders>
            <w:hideMark/>
          </w:tcPr>
          <w:p w14:paraId="58D261DD" w14:textId="77777777" w:rsidR="00D65E53" w:rsidRPr="00D65E53" w:rsidRDefault="00D65E53">
            <w:pPr>
              <w:rPr>
                <w:rFonts w:cstheme="minorHAnsi"/>
                <w:bCs/>
                <w:sz w:val="24"/>
                <w:szCs w:val="24"/>
              </w:rPr>
            </w:pPr>
            <w:r w:rsidRPr="00D65E53">
              <w:rPr>
                <w:rFonts w:cstheme="minorHAnsi"/>
                <w:bCs/>
                <w:sz w:val="24"/>
                <w:szCs w:val="24"/>
              </w:rPr>
              <w:t>F S V C</w:t>
            </w:r>
          </w:p>
        </w:tc>
      </w:tr>
      <w:tr w:rsidR="00D65E53" w14:paraId="5D83D168" w14:textId="77777777" w:rsidTr="00043D2A">
        <w:tc>
          <w:tcPr>
            <w:tcW w:w="3936" w:type="dxa"/>
            <w:tcBorders>
              <w:top w:val="single" w:sz="4" w:space="0" w:color="auto"/>
              <w:left w:val="single" w:sz="4" w:space="0" w:color="auto"/>
              <w:bottom w:val="single" w:sz="4" w:space="0" w:color="auto"/>
              <w:right w:val="single" w:sz="4" w:space="0" w:color="auto"/>
            </w:tcBorders>
            <w:hideMark/>
          </w:tcPr>
          <w:p w14:paraId="3CEF6C52" w14:textId="77777777" w:rsidR="00D65E53" w:rsidRPr="00D65E53" w:rsidRDefault="00D65E53">
            <w:pPr>
              <w:pStyle w:val="Textebrut"/>
              <w:rPr>
                <w:rFonts w:asciiTheme="minorHAnsi" w:hAnsiTheme="minorHAnsi" w:cstheme="minorHAnsi"/>
                <w:bCs/>
                <w:sz w:val="24"/>
                <w:szCs w:val="24"/>
              </w:rPr>
            </w:pPr>
            <w:r w:rsidRPr="00D65E53">
              <w:rPr>
                <w:rFonts w:asciiTheme="minorHAnsi" w:hAnsiTheme="minorHAnsi" w:cstheme="minorHAnsi"/>
                <w:bCs/>
                <w:sz w:val="24"/>
                <w:szCs w:val="24"/>
              </w:rPr>
              <w:t>Med Mondher Bahi</w:t>
            </w:r>
          </w:p>
        </w:tc>
        <w:tc>
          <w:tcPr>
            <w:tcW w:w="5131" w:type="dxa"/>
            <w:tcBorders>
              <w:top w:val="single" w:sz="4" w:space="0" w:color="auto"/>
              <w:left w:val="single" w:sz="4" w:space="0" w:color="auto"/>
              <w:bottom w:val="single" w:sz="4" w:space="0" w:color="auto"/>
              <w:right w:val="single" w:sz="4" w:space="0" w:color="auto"/>
            </w:tcBorders>
            <w:hideMark/>
          </w:tcPr>
          <w:p w14:paraId="481B61CD" w14:textId="77777777" w:rsidR="00D65E53" w:rsidRPr="00D65E53" w:rsidRDefault="00D65E53">
            <w:pPr>
              <w:rPr>
                <w:rFonts w:cstheme="minorHAnsi"/>
                <w:bCs/>
                <w:sz w:val="24"/>
                <w:szCs w:val="24"/>
              </w:rPr>
            </w:pPr>
            <w:r w:rsidRPr="00D65E53">
              <w:rPr>
                <w:rFonts w:cstheme="minorHAnsi"/>
                <w:bCs/>
                <w:sz w:val="24"/>
                <w:szCs w:val="24"/>
              </w:rPr>
              <w:t>M S I S</w:t>
            </w:r>
          </w:p>
        </w:tc>
      </w:tr>
      <w:tr w:rsidR="00D65E53" w14:paraId="1EFF8DD8" w14:textId="77777777" w:rsidTr="00043D2A">
        <w:tc>
          <w:tcPr>
            <w:tcW w:w="3936" w:type="dxa"/>
            <w:tcBorders>
              <w:top w:val="single" w:sz="4" w:space="0" w:color="auto"/>
              <w:left w:val="single" w:sz="4" w:space="0" w:color="auto"/>
              <w:bottom w:val="single" w:sz="4" w:space="0" w:color="auto"/>
              <w:right w:val="single" w:sz="4" w:space="0" w:color="auto"/>
            </w:tcBorders>
            <w:hideMark/>
          </w:tcPr>
          <w:p w14:paraId="25057E1D" w14:textId="77777777" w:rsidR="00D65E53" w:rsidRPr="00D65E53" w:rsidRDefault="00D65E53">
            <w:pPr>
              <w:pStyle w:val="Textebrut"/>
              <w:rPr>
                <w:rFonts w:asciiTheme="minorHAnsi" w:hAnsiTheme="minorHAnsi" w:cstheme="minorHAnsi"/>
                <w:bCs/>
                <w:sz w:val="24"/>
                <w:szCs w:val="24"/>
              </w:rPr>
            </w:pPr>
            <w:r w:rsidRPr="00D65E53">
              <w:rPr>
                <w:rFonts w:asciiTheme="minorHAnsi" w:hAnsiTheme="minorHAnsi" w:cstheme="minorHAnsi"/>
                <w:bCs/>
                <w:sz w:val="24"/>
                <w:szCs w:val="24"/>
              </w:rPr>
              <w:t>Samira Idoudi</w:t>
            </w:r>
          </w:p>
        </w:tc>
        <w:tc>
          <w:tcPr>
            <w:tcW w:w="5131" w:type="dxa"/>
            <w:tcBorders>
              <w:top w:val="single" w:sz="4" w:space="0" w:color="auto"/>
              <w:left w:val="single" w:sz="4" w:space="0" w:color="auto"/>
              <w:bottom w:val="single" w:sz="4" w:space="0" w:color="auto"/>
              <w:right w:val="single" w:sz="4" w:space="0" w:color="auto"/>
            </w:tcBorders>
            <w:hideMark/>
          </w:tcPr>
          <w:p w14:paraId="5EC3F7A0" w14:textId="77777777" w:rsidR="00D65E53" w:rsidRPr="00D65E53" w:rsidRDefault="00D65E53">
            <w:pPr>
              <w:rPr>
                <w:rFonts w:cstheme="minorHAnsi"/>
                <w:bCs/>
                <w:sz w:val="24"/>
                <w:szCs w:val="24"/>
              </w:rPr>
            </w:pPr>
            <w:r w:rsidRPr="00D65E53">
              <w:rPr>
                <w:rFonts w:cstheme="minorHAnsi"/>
                <w:bCs/>
                <w:sz w:val="24"/>
                <w:szCs w:val="24"/>
              </w:rPr>
              <w:t>Ministère de la santé</w:t>
            </w:r>
          </w:p>
        </w:tc>
      </w:tr>
      <w:tr w:rsidR="00D65E53" w14:paraId="50F84B62" w14:textId="77777777" w:rsidTr="00043D2A">
        <w:tc>
          <w:tcPr>
            <w:tcW w:w="3936" w:type="dxa"/>
            <w:tcBorders>
              <w:top w:val="single" w:sz="4" w:space="0" w:color="auto"/>
              <w:left w:val="single" w:sz="4" w:space="0" w:color="auto"/>
              <w:bottom w:val="single" w:sz="4" w:space="0" w:color="auto"/>
              <w:right w:val="single" w:sz="4" w:space="0" w:color="auto"/>
            </w:tcBorders>
            <w:hideMark/>
          </w:tcPr>
          <w:p w14:paraId="4CF14D57" w14:textId="77777777" w:rsidR="00D65E53" w:rsidRPr="00D65E53" w:rsidRDefault="00D65E53">
            <w:pPr>
              <w:pStyle w:val="Textebrut"/>
              <w:rPr>
                <w:rFonts w:asciiTheme="minorHAnsi" w:hAnsiTheme="minorHAnsi" w:cstheme="minorHAnsi"/>
                <w:bCs/>
                <w:sz w:val="24"/>
                <w:szCs w:val="24"/>
              </w:rPr>
            </w:pPr>
            <w:r w:rsidRPr="00D65E53">
              <w:rPr>
                <w:rFonts w:asciiTheme="minorHAnsi" w:hAnsiTheme="minorHAnsi" w:cstheme="minorHAnsi"/>
                <w:bCs/>
                <w:sz w:val="24"/>
                <w:szCs w:val="24"/>
              </w:rPr>
              <w:t>Hela Ourir</w:t>
            </w:r>
          </w:p>
        </w:tc>
        <w:tc>
          <w:tcPr>
            <w:tcW w:w="5131" w:type="dxa"/>
            <w:tcBorders>
              <w:top w:val="single" w:sz="4" w:space="0" w:color="auto"/>
              <w:left w:val="single" w:sz="4" w:space="0" w:color="auto"/>
              <w:bottom w:val="single" w:sz="4" w:space="0" w:color="auto"/>
              <w:right w:val="single" w:sz="4" w:space="0" w:color="auto"/>
            </w:tcBorders>
            <w:hideMark/>
          </w:tcPr>
          <w:p w14:paraId="6030F372" w14:textId="77777777" w:rsidR="00D65E53" w:rsidRPr="00D65E53" w:rsidRDefault="00D65E53">
            <w:pPr>
              <w:rPr>
                <w:rFonts w:cstheme="minorHAnsi"/>
                <w:bCs/>
                <w:sz w:val="24"/>
                <w:szCs w:val="24"/>
              </w:rPr>
            </w:pPr>
            <w:r w:rsidRPr="00D65E53">
              <w:rPr>
                <w:rFonts w:cstheme="minorHAnsi"/>
                <w:bCs/>
                <w:sz w:val="24"/>
                <w:szCs w:val="24"/>
              </w:rPr>
              <w:t>M. la Femme, de la Famille et de l’Enfance</w:t>
            </w:r>
          </w:p>
        </w:tc>
      </w:tr>
      <w:tr w:rsidR="00D65E53" w14:paraId="3B0C6C0D" w14:textId="77777777" w:rsidTr="00043D2A">
        <w:tc>
          <w:tcPr>
            <w:tcW w:w="3936" w:type="dxa"/>
            <w:tcBorders>
              <w:top w:val="single" w:sz="4" w:space="0" w:color="auto"/>
              <w:left w:val="single" w:sz="4" w:space="0" w:color="auto"/>
              <w:bottom w:val="single" w:sz="4" w:space="0" w:color="auto"/>
              <w:right w:val="single" w:sz="4" w:space="0" w:color="auto"/>
            </w:tcBorders>
            <w:hideMark/>
          </w:tcPr>
          <w:p w14:paraId="6070C8D0" w14:textId="77777777" w:rsidR="00D65E53" w:rsidRPr="00D65E53" w:rsidRDefault="00D65E53">
            <w:pPr>
              <w:pStyle w:val="Textebrut"/>
              <w:rPr>
                <w:rFonts w:asciiTheme="minorHAnsi" w:hAnsiTheme="minorHAnsi" w:cstheme="minorHAnsi"/>
                <w:bCs/>
                <w:sz w:val="24"/>
                <w:szCs w:val="24"/>
              </w:rPr>
            </w:pPr>
            <w:r w:rsidRPr="00D65E53">
              <w:rPr>
                <w:rFonts w:asciiTheme="minorHAnsi" w:hAnsiTheme="minorHAnsi" w:cstheme="minorHAnsi"/>
                <w:bCs/>
                <w:sz w:val="24"/>
                <w:szCs w:val="24"/>
              </w:rPr>
              <w:t>Kaies Hedhly</w:t>
            </w:r>
          </w:p>
        </w:tc>
        <w:tc>
          <w:tcPr>
            <w:tcW w:w="5131" w:type="dxa"/>
            <w:tcBorders>
              <w:top w:val="single" w:sz="4" w:space="0" w:color="auto"/>
              <w:left w:val="single" w:sz="4" w:space="0" w:color="auto"/>
              <w:bottom w:val="single" w:sz="4" w:space="0" w:color="auto"/>
              <w:right w:val="single" w:sz="4" w:space="0" w:color="auto"/>
            </w:tcBorders>
            <w:hideMark/>
          </w:tcPr>
          <w:p w14:paraId="61D4C813" w14:textId="77777777" w:rsidR="00D65E53" w:rsidRPr="00D65E53" w:rsidRDefault="00D65E53">
            <w:pPr>
              <w:rPr>
                <w:rFonts w:cstheme="minorHAnsi"/>
                <w:bCs/>
                <w:sz w:val="24"/>
                <w:szCs w:val="24"/>
              </w:rPr>
            </w:pPr>
            <w:r w:rsidRPr="00D65E53">
              <w:rPr>
                <w:rFonts w:cstheme="minorHAnsi"/>
                <w:bCs/>
                <w:sz w:val="24"/>
                <w:szCs w:val="24"/>
              </w:rPr>
              <w:t>Ministère des domaines de l’état</w:t>
            </w:r>
          </w:p>
        </w:tc>
      </w:tr>
      <w:tr w:rsidR="00D65E53" w14:paraId="50C5D026" w14:textId="77777777" w:rsidTr="00043D2A">
        <w:tc>
          <w:tcPr>
            <w:tcW w:w="3936" w:type="dxa"/>
            <w:tcBorders>
              <w:top w:val="single" w:sz="4" w:space="0" w:color="auto"/>
              <w:left w:val="single" w:sz="4" w:space="0" w:color="auto"/>
              <w:bottom w:val="single" w:sz="4" w:space="0" w:color="auto"/>
              <w:right w:val="single" w:sz="4" w:space="0" w:color="auto"/>
            </w:tcBorders>
            <w:hideMark/>
          </w:tcPr>
          <w:p w14:paraId="6699FED2" w14:textId="77777777" w:rsidR="00D65E53" w:rsidRPr="00D65E53" w:rsidRDefault="00D65E53">
            <w:pPr>
              <w:pStyle w:val="Textebrut"/>
              <w:rPr>
                <w:rFonts w:asciiTheme="minorHAnsi" w:hAnsiTheme="minorHAnsi" w:cstheme="minorHAnsi"/>
                <w:bCs/>
                <w:sz w:val="24"/>
                <w:szCs w:val="24"/>
              </w:rPr>
            </w:pPr>
            <w:r w:rsidRPr="00D65E53">
              <w:rPr>
                <w:rFonts w:asciiTheme="minorHAnsi" w:hAnsiTheme="minorHAnsi" w:cstheme="minorHAnsi"/>
                <w:bCs/>
                <w:sz w:val="24"/>
                <w:szCs w:val="24"/>
              </w:rPr>
              <w:t>Fakher Cherif</w:t>
            </w:r>
          </w:p>
        </w:tc>
        <w:tc>
          <w:tcPr>
            <w:tcW w:w="5131" w:type="dxa"/>
            <w:tcBorders>
              <w:top w:val="single" w:sz="4" w:space="0" w:color="auto"/>
              <w:left w:val="single" w:sz="4" w:space="0" w:color="auto"/>
              <w:bottom w:val="single" w:sz="4" w:space="0" w:color="auto"/>
              <w:right w:val="single" w:sz="4" w:space="0" w:color="auto"/>
            </w:tcBorders>
            <w:hideMark/>
          </w:tcPr>
          <w:p w14:paraId="3CD19ECC" w14:textId="77777777" w:rsidR="00D65E53" w:rsidRPr="00D65E53" w:rsidRDefault="00D65E53">
            <w:pPr>
              <w:rPr>
                <w:rFonts w:cstheme="minorHAnsi"/>
                <w:bCs/>
                <w:sz w:val="24"/>
                <w:szCs w:val="24"/>
              </w:rPr>
            </w:pPr>
            <w:r w:rsidRPr="00D65E53">
              <w:rPr>
                <w:rFonts w:cstheme="minorHAnsi"/>
                <w:bCs/>
                <w:sz w:val="24"/>
                <w:szCs w:val="24"/>
              </w:rPr>
              <w:t>Ministère des domaines de l’état</w:t>
            </w:r>
          </w:p>
        </w:tc>
      </w:tr>
      <w:tr w:rsidR="00D65E53" w14:paraId="1631A87C" w14:textId="77777777" w:rsidTr="00043D2A">
        <w:tc>
          <w:tcPr>
            <w:tcW w:w="3936" w:type="dxa"/>
            <w:tcBorders>
              <w:top w:val="single" w:sz="4" w:space="0" w:color="auto"/>
              <w:left w:val="single" w:sz="4" w:space="0" w:color="auto"/>
              <w:bottom w:val="single" w:sz="4" w:space="0" w:color="auto"/>
              <w:right w:val="single" w:sz="4" w:space="0" w:color="auto"/>
            </w:tcBorders>
            <w:hideMark/>
          </w:tcPr>
          <w:p w14:paraId="4FCF2C0D" w14:textId="77777777" w:rsidR="00D65E53" w:rsidRPr="00D65E53" w:rsidRDefault="00D65E53">
            <w:pPr>
              <w:pStyle w:val="Textebrut"/>
              <w:rPr>
                <w:rFonts w:asciiTheme="minorHAnsi" w:hAnsiTheme="minorHAnsi" w:cstheme="minorHAnsi"/>
                <w:bCs/>
                <w:sz w:val="24"/>
                <w:szCs w:val="24"/>
              </w:rPr>
            </w:pPr>
            <w:r w:rsidRPr="00D65E53">
              <w:rPr>
                <w:rFonts w:asciiTheme="minorHAnsi" w:hAnsiTheme="minorHAnsi" w:cstheme="minorHAnsi"/>
                <w:bCs/>
                <w:sz w:val="24"/>
                <w:szCs w:val="24"/>
              </w:rPr>
              <w:t>Mourad Bel hadj</w:t>
            </w:r>
          </w:p>
        </w:tc>
        <w:tc>
          <w:tcPr>
            <w:tcW w:w="5131" w:type="dxa"/>
            <w:tcBorders>
              <w:top w:val="single" w:sz="4" w:space="0" w:color="auto"/>
              <w:left w:val="single" w:sz="4" w:space="0" w:color="auto"/>
              <w:bottom w:val="single" w:sz="4" w:space="0" w:color="auto"/>
              <w:right w:val="single" w:sz="4" w:space="0" w:color="auto"/>
            </w:tcBorders>
            <w:hideMark/>
          </w:tcPr>
          <w:p w14:paraId="59D9DE4A" w14:textId="77777777" w:rsidR="00D65E53" w:rsidRPr="00D65E53" w:rsidRDefault="00D65E53">
            <w:pPr>
              <w:rPr>
                <w:rFonts w:cstheme="minorHAnsi"/>
                <w:bCs/>
                <w:sz w:val="24"/>
                <w:szCs w:val="24"/>
              </w:rPr>
            </w:pPr>
            <w:r w:rsidRPr="00D65E53">
              <w:rPr>
                <w:rFonts w:cstheme="minorHAnsi"/>
                <w:bCs/>
                <w:sz w:val="24"/>
                <w:szCs w:val="24"/>
              </w:rPr>
              <w:t>Ministère de l’emploi et de la formation professionnelle</w:t>
            </w:r>
          </w:p>
        </w:tc>
      </w:tr>
      <w:tr w:rsidR="00D65E53" w14:paraId="7706F544" w14:textId="77777777" w:rsidTr="00043D2A">
        <w:tc>
          <w:tcPr>
            <w:tcW w:w="3936" w:type="dxa"/>
            <w:tcBorders>
              <w:top w:val="single" w:sz="4" w:space="0" w:color="auto"/>
              <w:left w:val="single" w:sz="4" w:space="0" w:color="auto"/>
              <w:bottom w:val="single" w:sz="4" w:space="0" w:color="auto"/>
              <w:right w:val="single" w:sz="4" w:space="0" w:color="auto"/>
            </w:tcBorders>
            <w:hideMark/>
          </w:tcPr>
          <w:p w14:paraId="0A194A3B" w14:textId="77777777" w:rsidR="00D65E53" w:rsidRPr="00D65E53" w:rsidRDefault="00D65E53">
            <w:pPr>
              <w:pStyle w:val="Textebrut"/>
              <w:rPr>
                <w:rFonts w:asciiTheme="minorHAnsi" w:hAnsiTheme="minorHAnsi" w:cstheme="minorHAnsi"/>
                <w:bCs/>
                <w:sz w:val="24"/>
                <w:szCs w:val="24"/>
              </w:rPr>
            </w:pPr>
            <w:r w:rsidRPr="00D65E53">
              <w:rPr>
                <w:rFonts w:asciiTheme="minorHAnsi" w:hAnsiTheme="minorHAnsi" w:cstheme="minorHAnsi"/>
                <w:bCs/>
                <w:sz w:val="24"/>
                <w:szCs w:val="24"/>
              </w:rPr>
              <w:t>Chawki Lahderi</w:t>
            </w:r>
          </w:p>
        </w:tc>
        <w:tc>
          <w:tcPr>
            <w:tcW w:w="5131" w:type="dxa"/>
            <w:tcBorders>
              <w:top w:val="single" w:sz="4" w:space="0" w:color="auto"/>
              <w:left w:val="single" w:sz="4" w:space="0" w:color="auto"/>
              <w:bottom w:val="single" w:sz="4" w:space="0" w:color="auto"/>
              <w:right w:val="single" w:sz="4" w:space="0" w:color="auto"/>
            </w:tcBorders>
            <w:hideMark/>
          </w:tcPr>
          <w:p w14:paraId="07418138" w14:textId="77777777" w:rsidR="00D65E53" w:rsidRPr="00D65E53" w:rsidRDefault="00D65E53">
            <w:pPr>
              <w:rPr>
                <w:rFonts w:cstheme="minorHAnsi"/>
                <w:bCs/>
                <w:sz w:val="24"/>
                <w:szCs w:val="24"/>
              </w:rPr>
            </w:pPr>
            <w:r w:rsidRPr="00D65E53">
              <w:rPr>
                <w:rFonts w:cstheme="minorHAnsi"/>
                <w:bCs/>
                <w:sz w:val="24"/>
                <w:szCs w:val="24"/>
              </w:rPr>
              <w:t>Ministère de l’emploi et de la formation professionnelle</w:t>
            </w:r>
          </w:p>
        </w:tc>
      </w:tr>
      <w:tr w:rsidR="00D65E53" w14:paraId="4D73F4EB" w14:textId="77777777" w:rsidTr="00043D2A">
        <w:tc>
          <w:tcPr>
            <w:tcW w:w="3936" w:type="dxa"/>
            <w:tcBorders>
              <w:top w:val="single" w:sz="4" w:space="0" w:color="auto"/>
              <w:left w:val="single" w:sz="4" w:space="0" w:color="auto"/>
              <w:bottom w:val="single" w:sz="4" w:space="0" w:color="auto"/>
              <w:right w:val="single" w:sz="4" w:space="0" w:color="auto"/>
            </w:tcBorders>
            <w:hideMark/>
          </w:tcPr>
          <w:p w14:paraId="60FC2D2F" w14:textId="77777777" w:rsidR="00D65E53" w:rsidRPr="00D65E53" w:rsidRDefault="00D65E53">
            <w:pPr>
              <w:pStyle w:val="Textebrut"/>
              <w:rPr>
                <w:rFonts w:asciiTheme="minorHAnsi" w:hAnsiTheme="minorHAnsi" w:cstheme="minorHAnsi"/>
                <w:bCs/>
                <w:sz w:val="24"/>
                <w:szCs w:val="24"/>
              </w:rPr>
            </w:pPr>
            <w:r w:rsidRPr="00D65E53">
              <w:rPr>
                <w:rFonts w:asciiTheme="minorHAnsi" w:hAnsiTheme="minorHAnsi" w:cstheme="minorHAnsi"/>
                <w:bCs/>
                <w:sz w:val="24"/>
                <w:szCs w:val="24"/>
              </w:rPr>
              <w:t>Habib Wenish</w:t>
            </w:r>
          </w:p>
        </w:tc>
        <w:tc>
          <w:tcPr>
            <w:tcW w:w="5131" w:type="dxa"/>
            <w:tcBorders>
              <w:top w:val="single" w:sz="4" w:space="0" w:color="auto"/>
              <w:left w:val="single" w:sz="4" w:space="0" w:color="auto"/>
              <w:bottom w:val="single" w:sz="4" w:space="0" w:color="auto"/>
              <w:right w:val="single" w:sz="4" w:space="0" w:color="auto"/>
            </w:tcBorders>
            <w:hideMark/>
          </w:tcPr>
          <w:p w14:paraId="455E4B1A" w14:textId="77777777" w:rsidR="00D65E53" w:rsidRPr="00D65E53" w:rsidRDefault="00D65E53">
            <w:pPr>
              <w:rPr>
                <w:rFonts w:cstheme="minorHAnsi"/>
                <w:bCs/>
                <w:sz w:val="24"/>
                <w:szCs w:val="24"/>
              </w:rPr>
            </w:pPr>
            <w:r w:rsidRPr="00D65E53">
              <w:rPr>
                <w:rFonts w:cstheme="minorHAnsi"/>
                <w:bCs/>
                <w:sz w:val="24"/>
                <w:szCs w:val="24"/>
              </w:rPr>
              <w:t>F S V C</w:t>
            </w:r>
          </w:p>
        </w:tc>
      </w:tr>
      <w:tr w:rsidR="00D65E53" w14:paraId="5E0211AE" w14:textId="77777777" w:rsidTr="00043D2A">
        <w:tc>
          <w:tcPr>
            <w:tcW w:w="3936" w:type="dxa"/>
            <w:tcBorders>
              <w:top w:val="single" w:sz="4" w:space="0" w:color="auto"/>
              <w:left w:val="single" w:sz="4" w:space="0" w:color="auto"/>
              <w:bottom w:val="single" w:sz="4" w:space="0" w:color="auto"/>
              <w:right w:val="single" w:sz="4" w:space="0" w:color="auto"/>
            </w:tcBorders>
            <w:hideMark/>
          </w:tcPr>
          <w:p w14:paraId="7487B85B" w14:textId="77777777" w:rsidR="00D65E53" w:rsidRPr="00D65E53" w:rsidRDefault="00D65E53">
            <w:pPr>
              <w:pStyle w:val="Textebrut"/>
              <w:rPr>
                <w:rFonts w:asciiTheme="minorHAnsi" w:hAnsiTheme="minorHAnsi" w:cstheme="minorHAnsi"/>
                <w:bCs/>
                <w:sz w:val="24"/>
                <w:szCs w:val="24"/>
              </w:rPr>
            </w:pPr>
            <w:r w:rsidRPr="00D65E53">
              <w:rPr>
                <w:rFonts w:asciiTheme="minorHAnsi" w:hAnsiTheme="minorHAnsi" w:cstheme="minorHAnsi"/>
                <w:bCs/>
                <w:sz w:val="24"/>
                <w:szCs w:val="24"/>
              </w:rPr>
              <w:t>Khaled Ben Slama</w:t>
            </w:r>
          </w:p>
        </w:tc>
        <w:tc>
          <w:tcPr>
            <w:tcW w:w="5131" w:type="dxa"/>
            <w:tcBorders>
              <w:top w:val="single" w:sz="4" w:space="0" w:color="auto"/>
              <w:left w:val="single" w:sz="4" w:space="0" w:color="auto"/>
              <w:bottom w:val="single" w:sz="4" w:space="0" w:color="auto"/>
              <w:right w:val="single" w:sz="4" w:space="0" w:color="auto"/>
            </w:tcBorders>
            <w:hideMark/>
          </w:tcPr>
          <w:p w14:paraId="15B864DC" w14:textId="77777777" w:rsidR="00D65E53" w:rsidRPr="00D65E53" w:rsidRDefault="00D65E53">
            <w:pPr>
              <w:rPr>
                <w:rFonts w:cstheme="minorHAnsi"/>
                <w:bCs/>
                <w:sz w:val="24"/>
                <w:szCs w:val="24"/>
              </w:rPr>
            </w:pPr>
            <w:r w:rsidRPr="00D65E53">
              <w:rPr>
                <w:rFonts w:cstheme="minorHAnsi"/>
                <w:bCs/>
                <w:sz w:val="24"/>
                <w:szCs w:val="24"/>
              </w:rPr>
              <w:t>Ministère des affaires religieuses</w:t>
            </w:r>
          </w:p>
        </w:tc>
      </w:tr>
      <w:tr w:rsidR="00D65E53" w14:paraId="298D5A12" w14:textId="77777777" w:rsidTr="00043D2A">
        <w:tc>
          <w:tcPr>
            <w:tcW w:w="3936" w:type="dxa"/>
            <w:tcBorders>
              <w:top w:val="single" w:sz="4" w:space="0" w:color="auto"/>
              <w:left w:val="single" w:sz="4" w:space="0" w:color="auto"/>
              <w:bottom w:val="single" w:sz="4" w:space="0" w:color="auto"/>
              <w:right w:val="single" w:sz="4" w:space="0" w:color="auto"/>
            </w:tcBorders>
            <w:hideMark/>
          </w:tcPr>
          <w:p w14:paraId="106D1E2D" w14:textId="77777777" w:rsidR="00D65E53" w:rsidRPr="00D65E53" w:rsidRDefault="00D65E53">
            <w:pPr>
              <w:pStyle w:val="Textebrut"/>
              <w:rPr>
                <w:rFonts w:asciiTheme="minorHAnsi" w:hAnsiTheme="minorHAnsi" w:cstheme="minorHAnsi"/>
                <w:bCs/>
                <w:sz w:val="24"/>
                <w:szCs w:val="24"/>
              </w:rPr>
            </w:pPr>
            <w:r w:rsidRPr="00D65E53">
              <w:rPr>
                <w:rFonts w:asciiTheme="minorHAnsi" w:hAnsiTheme="minorHAnsi" w:cstheme="minorHAnsi"/>
                <w:bCs/>
                <w:sz w:val="24"/>
                <w:szCs w:val="24"/>
              </w:rPr>
              <w:t>Nizar Barkouti</w:t>
            </w:r>
          </w:p>
        </w:tc>
        <w:tc>
          <w:tcPr>
            <w:tcW w:w="5131" w:type="dxa"/>
            <w:tcBorders>
              <w:top w:val="single" w:sz="4" w:space="0" w:color="auto"/>
              <w:left w:val="single" w:sz="4" w:space="0" w:color="auto"/>
              <w:bottom w:val="single" w:sz="4" w:space="0" w:color="auto"/>
              <w:right w:val="single" w:sz="4" w:space="0" w:color="auto"/>
            </w:tcBorders>
            <w:hideMark/>
          </w:tcPr>
          <w:p w14:paraId="452B4F48" w14:textId="77777777" w:rsidR="00D65E53" w:rsidRPr="00D65E53" w:rsidRDefault="00D65E53">
            <w:pPr>
              <w:rPr>
                <w:rFonts w:cstheme="minorHAnsi"/>
                <w:bCs/>
                <w:sz w:val="24"/>
                <w:szCs w:val="24"/>
              </w:rPr>
            </w:pPr>
            <w:r w:rsidRPr="00D65E53">
              <w:rPr>
                <w:rFonts w:cstheme="minorHAnsi"/>
                <w:bCs/>
                <w:sz w:val="24"/>
                <w:szCs w:val="24"/>
              </w:rPr>
              <w:t>Ministère de la jeunesse et des sports</w:t>
            </w:r>
          </w:p>
        </w:tc>
      </w:tr>
      <w:tr w:rsidR="00D65E53" w14:paraId="414CFEE5" w14:textId="77777777" w:rsidTr="00043D2A">
        <w:tc>
          <w:tcPr>
            <w:tcW w:w="3936" w:type="dxa"/>
            <w:tcBorders>
              <w:top w:val="single" w:sz="4" w:space="0" w:color="auto"/>
              <w:left w:val="single" w:sz="4" w:space="0" w:color="auto"/>
              <w:bottom w:val="single" w:sz="4" w:space="0" w:color="auto"/>
              <w:right w:val="single" w:sz="4" w:space="0" w:color="auto"/>
            </w:tcBorders>
            <w:hideMark/>
          </w:tcPr>
          <w:p w14:paraId="2EC52102" w14:textId="77777777" w:rsidR="00D65E53" w:rsidRPr="00D65E53" w:rsidRDefault="00D65E53">
            <w:pPr>
              <w:pStyle w:val="Textebrut"/>
              <w:rPr>
                <w:rFonts w:asciiTheme="minorHAnsi" w:hAnsiTheme="minorHAnsi" w:cstheme="minorHAnsi"/>
                <w:bCs/>
                <w:sz w:val="24"/>
                <w:szCs w:val="24"/>
              </w:rPr>
            </w:pPr>
            <w:r w:rsidRPr="00D65E53">
              <w:rPr>
                <w:rFonts w:asciiTheme="minorHAnsi" w:hAnsiTheme="minorHAnsi" w:cstheme="minorHAnsi"/>
                <w:bCs/>
                <w:sz w:val="24"/>
                <w:szCs w:val="24"/>
              </w:rPr>
              <w:t xml:space="preserve">Med Arbi Ben Younes </w:t>
            </w:r>
          </w:p>
        </w:tc>
        <w:tc>
          <w:tcPr>
            <w:tcW w:w="5131" w:type="dxa"/>
            <w:tcBorders>
              <w:top w:val="single" w:sz="4" w:space="0" w:color="auto"/>
              <w:left w:val="single" w:sz="4" w:space="0" w:color="auto"/>
              <w:bottom w:val="single" w:sz="4" w:space="0" w:color="auto"/>
              <w:right w:val="single" w:sz="4" w:space="0" w:color="auto"/>
            </w:tcBorders>
            <w:hideMark/>
          </w:tcPr>
          <w:p w14:paraId="5B90139B" w14:textId="77777777" w:rsidR="00D65E53" w:rsidRPr="00D65E53" w:rsidRDefault="00D65E53">
            <w:pPr>
              <w:rPr>
                <w:rFonts w:cstheme="minorHAnsi"/>
                <w:bCs/>
                <w:sz w:val="24"/>
                <w:szCs w:val="24"/>
              </w:rPr>
            </w:pPr>
            <w:r w:rsidRPr="00D65E53">
              <w:rPr>
                <w:rFonts w:cstheme="minorHAnsi"/>
                <w:bCs/>
                <w:sz w:val="24"/>
                <w:szCs w:val="24"/>
              </w:rPr>
              <w:t>ENIT</w:t>
            </w:r>
          </w:p>
        </w:tc>
      </w:tr>
      <w:tr w:rsidR="00D65E53" w14:paraId="2E1D7D7B" w14:textId="77777777" w:rsidTr="00043D2A">
        <w:tc>
          <w:tcPr>
            <w:tcW w:w="3936" w:type="dxa"/>
            <w:tcBorders>
              <w:top w:val="single" w:sz="4" w:space="0" w:color="auto"/>
              <w:left w:val="single" w:sz="4" w:space="0" w:color="auto"/>
              <w:bottom w:val="single" w:sz="4" w:space="0" w:color="auto"/>
              <w:right w:val="single" w:sz="4" w:space="0" w:color="auto"/>
            </w:tcBorders>
            <w:hideMark/>
          </w:tcPr>
          <w:p w14:paraId="41DB6C03" w14:textId="77777777" w:rsidR="00D65E53" w:rsidRPr="00D65E53" w:rsidRDefault="00D65E53">
            <w:pPr>
              <w:pStyle w:val="Textebrut"/>
              <w:rPr>
                <w:rFonts w:asciiTheme="minorHAnsi" w:hAnsiTheme="minorHAnsi" w:cstheme="minorHAnsi"/>
                <w:bCs/>
                <w:sz w:val="24"/>
                <w:szCs w:val="24"/>
              </w:rPr>
            </w:pPr>
            <w:r w:rsidRPr="00D65E53">
              <w:rPr>
                <w:rFonts w:asciiTheme="minorHAnsi" w:hAnsiTheme="minorHAnsi" w:cstheme="minorHAnsi"/>
                <w:bCs/>
                <w:sz w:val="24"/>
                <w:szCs w:val="24"/>
              </w:rPr>
              <w:t>Hajer Trabelsi</w:t>
            </w:r>
          </w:p>
        </w:tc>
        <w:tc>
          <w:tcPr>
            <w:tcW w:w="5131" w:type="dxa"/>
            <w:tcBorders>
              <w:top w:val="single" w:sz="4" w:space="0" w:color="auto"/>
              <w:left w:val="single" w:sz="4" w:space="0" w:color="auto"/>
              <w:bottom w:val="single" w:sz="4" w:space="0" w:color="auto"/>
              <w:right w:val="single" w:sz="4" w:space="0" w:color="auto"/>
            </w:tcBorders>
            <w:hideMark/>
          </w:tcPr>
          <w:p w14:paraId="19CB7A3F" w14:textId="77777777" w:rsidR="00D65E53" w:rsidRPr="00D65E53" w:rsidRDefault="00D65E53">
            <w:pPr>
              <w:rPr>
                <w:rFonts w:cstheme="minorHAnsi"/>
                <w:bCs/>
                <w:sz w:val="24"/>
                <w:szCs w:val="24"/>
              </w:rPr>
            </w:pPr>
            <w:r w:rsidRPr="00D65E53">
              <w:rPr>
                <w:rFonts w:cstheme="minorHAnsi"/>
                <w:bCs/>
                <w:sz w:val="24"/>
                <w:szCs w:val="24"/>
              </w:rPr>
              <w:t>Instance d’accès à l’information</w:t>
            </w:r>
          </w:p>
        </w:tc>
      </w:tr>
      <w:tr w:rsidR="00D65E53" w14:paraId="6531F6AD" w14:textId="77777777" w:rsidTr="00043D2A">
        <w:tc>
          <w:tcPr>
            <w:tcW w:w="3936" w:type="dxa"/>
            <w:tcBorders>
              <w:top w:val="single" w:sz="4" w:space="0" w:color="auto"/>
              <w:left w:val="single" w:sz="4" w:space="0" w:color="auto"/>
              <w:bottom w:val="single" w:sz="4" w:space="0" w:color="auto"/>
              <w:right w:val="single" w:sz="4" w:space="0" w:color="auto"/>
            </w:tcBorders>
            <w:hideMark/>
          </w:tcPr>
          <w:p w14:paraId="3C63B32C" w14:textId="77777777" w:rsidR="00D65E53" w:rsidRPr="00D65E53" w:rsidRDefault="00D65E53">
            <w:pPr>
              <w:pStyle w:val="Textebrut"/>
              <w:rPr>
                <w:rFonts w:asciiTheme="minorHAnsi" w:hAnsiTheme="minorHAnsi" w:cstheme="minorHAnsi"/>
                <w:bCs/>
                <w:sz w:val="24"/>
                <w:szCs w:val="24"/>
              </w:rPr>
            </w:pPr>
            <w:r w:rsidRPr="00D65E53">
              <w:rPr>
                <w:rFonts w:asciiTheme="minorHAnsi" w:hAnsiTheme="minorHAnsi" w:cstheme="minorHAnsi"/>
                <w:bCs/>
                <w:sz w:val="24"/>
                <w:szCs w:val="24"/>
              </w:rPr>
              <w:t>Kaouther Nasri</w:t>
            </w:r>
          </w:p>
        </w:tc>
        <w:tc>
          <w:tcPr>
            <w:tcW w:w="5131" w:type="dxa"/>
            <w:tcBorders>
              <w:top w:val="single" w:sz="4" w:space="0" w:color="auto"/>
              <w:left w:val="single" w:sz="4" w:space="0" w:color="auto"/>
              <w:bottom w:val="single" w:sz="4" w:space="0" w:color="auto"/>
              <w:right w:val="single" w:sz="4" w:space="0" w:color="auto"/>
            </w:tcBorders>
            <w:hideMark/>
          </w:tcPr>
          <w:p w14:paraId="57DD7081" w14:textId="77777777" w:rsidR="00D65E53" w:rsidRPr="00D65E53" w:rsidRDefault="00D65E53">
            <w:pPr>
              <w:rPr>
                <w:rFonts w:cstheme="minorHAnsi"/>
                <w:bCs/>
                <w:sz w:val="24"/>
                <w:szCs w:val="24"/>
              </w:rPr>
            </w:pPr>
            <w:r w:rsidRPr="00D65E53">
              <w:rPr>
                <w:rFonts w:cstheme="minorHAnsi"/>
                <w:bCs/>
                <w:sz w:val="24"/>
                <w:szCs w:val="24"/>
              </w:rPr>
              <w:t>Cour des comptes</w:t>
            </w:r>
          </w:p>
        </w:tc>
      </w:tr>
      <w:tr w:rsidR="00D65E53" w14:paraId="63E37600" w14:textId="77777777" w:rsidTr="00043D2A">
        <w:tc>
          <w:tcPr>
            <w:tcW w:w="3936" w:type="dxa"/>
            <w:tcBorders>
              <w:top w:val="single" w:sz="4" w:space="0" w:color="auto"/>
              <w:left w:val="single" w:sz="4" w:space="0" w:color="auto"/>
              <w:bottom w:val="single" w:sz="4" w:space="0" w:color="auto"/>
              <w:right w:val="single" w:sz="4" w:space="0" w:color="auto"/>
            </w:tcBorders>
            <w:hideMark/>
          </w:tcPr>
          <w:p w14:paraId="48D147AE" w14:textId="77777777" w:rsidR="00D65E53" w:rsidRPr="00D65E53" w:rsidRDefault="00D65E53">
            <w:pPr>
              <w:pStyle w:val="Textebrut"/>
              <w:rPr>
                <w:rFonts w:asciiTheme="minorHAnsi" w:hAnsiTheme="minorHAnsi" w:cstheme="minorHAnsi"/>
                <w:bCs/>
                <w:sz w:val="24"/>
                <w:szCs w:val="24"/>
              </w:rPr>
            </w:pPr>
            <w:r w:rsidRPr="00D65E53">
              <w:rPr>
                <w:rFonts w:asciiTheme="minorHAnsi" w:hAnsiTheme="minorHAnsi" w:cstheme="minorHAnsi"/>
                <w:bCs/>
                <w:sz w:val="24"/>
                <w:szCs w:val="24"/>
              </w:rPr>
              <w:t>Walid Ghouili</w:t>
            </w:r>
          </w:p>
        </w:tc>
        <w:tc>
          <w:tcPr>
            <w:tcW w:w="5131" w:type="dxa"/>
            <w:tcBorders>
              <w:top w:val="single" w:sz="4" w:space="0" w:color="auto"/>
              <w:left w:val="single" w:sz="4" w:space="0" w:color="auto"/>
              <w:bottom w:val="single" w:sz="4" w:space="0" w:color="auto"/>
              <w:right w:val="single" w:sz="4" w:space="0" w:color="auto"/>
            </w:tcBorders>
            <w:hideMark/>
          </w:tcPr>
          <w:p w14:paraId="1FB7A937" w14:textId="77777777" w:rsidR="00D65E53" w:rsidRPr="00D65E53" w:rsidRDefault="00D65E53">
            <w:pPr>
              <w:rPr>
                <w:rFonts w:cstheme="minorHAnsi"/>
                <w:bCs/>
                <w:sz w:val="24"/>
                <w:szCs w:val="24"/>
              </w:rPr>
            </w:pPr>
            <w:r w:rsidRPr="00D65E53">
              <w:rPr>
                <w:rFonts w:cstheme="minorHAnsi"/>
                <w:bCs/>
                <w:sz w:val="24"/>
                <w:szCs w:val="24"/>
              </w:rPr>
              <w:t>Ministère de la défense</w:t>
            </w:r>
          </w:p>
        </w:tc>
      </w:tr>
      <w:tr w:rsidR="00D65E53" w14:paraId="10183941" w14:textId="77777777" w:rsidTr="00043D2A">
        <w:tc>
          <w:tcPr>
            <w:tcW w:w="3936" w:type="dxa"/>
            <w:tcBorders>
              <w:top w:val="single" w:sz="4" w:space="0" w:color="auto"/>
              <w:left w:val="single" w:sz="4" w:space="0" w:color="auto"/>
              <w:bottom w:val="single" w:sz="4" w:space="0" w:color="auto"/>
              <w:right w:val="single" w:sz="4" w:space="0" w:color="auto"/>
            </w:tcBorders>
            <w:hideMark/>
          </w:tcPr>
          <w:p w14:paraId="2832C1BB" w14:textId="77777777" w:rsidR="00D65E53" w:rsidRPr="00D65E53" w:rsidRDefault="00D65E53">
            <w:pPr>
              <w:pStyle w:val="Textebrut"/>
              <w:rPr>
                <w:rFonts w:asciiTheme="minorHAnsi" w:hAnsiTheme="minorHAnsi" w:cstheme="minorHAnsi"/>
                <w:bCs/>
                <w:sz w:val="24"/>
                <w:szCs w:val="24"/>
              </w:rPr>
            </w:pPr>
            <w:r w:rsidRPr="00D65E53">
              <w:rPr>
                <w:rFonts w:asciiTheme="minorHAnsi" w:hAnsiTheme="minorHAnsi" w:cstheme="minorHAnsi"/>
                <w:bCs/>
                <w:sz w:val="24"/>
                <w:szCs w:val="24"/>
              </w:rPr>
              <w:t>Mefteh Hazem</w:t>
            </w:r>
          </w:p>
        </w:tc>
        <w:tc>
          <w:tcPr>
            <w:tcW w:w="5131" w:type="dxa"/>
            <w:tcBorders>
              <w:top w:val="single" w:sz="4" w:space="0" w:color="auto"/>
              <w:left w:val="single" w:sz="4" w:space="0" w:color="auto"/>
              <w:bottom w:val="single" w:sz="4" w:space="0" w:color="auto"/>
              <w:right w:val="single" w:sz="4" w:space="0" w:color="auto"/>
            </w:tcBorders>
            <w:hideMark/>
          </w:tcPr>
          <w:p w14:paraId="3E3EF3B5" w14:textId="77777777" w:rsidR="00D65E53" w:rsidRPr="00D65E53" w:rsidRDefault="00D65E53">
            <w:pPr>
              <w:rPr>
                <w:rFonts w:cstheme="minorHAnsi"/>
                <w:bCs/>
                <w:sz w:val="24"/>
                <w:szCs w:val="24"/>
              </w:rPr>
            </w:pPr>
            <w:r w:rsidRPr="00D65E53">
              <w:rPr>
                <w:rFonts w:cstheme="minorHAnsi"/>
                <w:bCs/>
                <w:sz w:val="24"/>
                <w:szCs w:val="24"/>
              </w:rPr>
              <w:t>eGov society</w:t>
            </w:r>
          </w:p>
        </w:tc>
      </w:tr>
      <w:tr w:rsidR="00D65E53" w14:paraId="332E8AB3" w14:textId="77777777" w:rsidTr="00043D2A">
        <w:tc>
          <w:tcPr>
            <w:tcW w:w="3936" w:type="dxa"/>
            <w:tcBorders>
              <w:top w:val="single" w:sz="4" w:space="0" w:color="auto"/>
              <w:left w:val="single" w:sz="4" w:space="0" w:color="auto"/>
              <w:bottom w:val="single" w:sz="4" w:space="0" w:color="auto"/>
              <w:right w:val="single" w:sz="4" w:space="0" w:color="auto"/>
            </w:tcBorders>
            <w:hideMark/>
          </w:tcPr>
          <w:p w14:paraId="0C592591" w14:textId="77777777" w:rsidR="00D65E53" w:rsidRPr="00D65E53" w:rsidRDefault="00D65E53">
            <w:pPr>
              <w:pStyle w:val="Textebrut"/>
              <w:rPr>
                <w:rFonts w:asciiTheme="minorHAnsi" w:hAnsiTheme="minorHAnsi" w:cstheme="minorHAnsi"/>
                <w:bCs/>
                <w:sz w:val="24"/>
                <w:szCs w:val="24"/>
              </w:rPr>
            </w:pPr>
            <w:r w:rsidRPr="00D65E53">
              <w:rPr>
                <w:rFonts w:asciiTheme="minorHAnsi" w:hAnsiTheme="minorHAnsi" w:cstheme="minorHAnsi"/>
                <w:bCs/>
                <w:sz w:val="24"/>
                <w:szCs w:val="24"/>
              </w:rPr>
              <w:t xml:space="preserve">Dhamri Mourad </w:t>
            </w:r>
          </w:p>
        </w:tc>
        <w:tc>
          <w:tcPr>
            <w:tcW w:w="5131" w:type="dxa"/>
            <w:tcBorders>
              <w:top w:val="single" w:sz="4" w:space="0" w:color="auto"/>
              <w:left w:val="single" w:sz="4" w:space="0" w:color="auto"/>
              <w:bottom w:val="single" w:sz="4" w:space="0" w:color="auto"/>
              <w:right w:val="single" w:sz="4" w:space="0" w:color="auto"/>
            </w:tcBorders>
            <w:hideMark/>
          </w:tcPr>
          <w:p w14:paraId="5302F2EF" w14:textId="77777777" w:rsidR="00D65E53" w:rsidRPr="00D65E53" w:rsidRDefault="00D65E53">
            <w:pPr>
              <w:rPr>
                <w:rFonts w:cstheme="minorHAnsi"/>
                <w:bCs/>
                <w:sz w:val="24"/>
                <w:szCs w:val="24"/>
              </w:rPr>
            </w:pPr>
            <w:r w:rsidRPr="00D65E53">
              <w:rPr>
                <w:rFonts w:cstheme="minorHAnsi"/>
                <w:bCs/>
                <w:sz w:val="24"/>
                <w:szCs w:val="24"/>
              </w:rPr>
              <w:t>Ministère de l’intérieur</w:t>
            </w:r>
          </w:p>
        </w:tc>
      </w:tr>
      <w:tr w:rsidR="00D65E53" w14:paraId="03B347F5" w14:textId="77777777" w:rsidTr="00043D2A">
        <w:tc>
          <w:tcPr>
            <w:tcW w:w="3936" w:type="dxa"/>
            <w:tcBorders>
              <w:top w:val="single" w:sz="4" w:space="0" w:color="auto"/>
              <w:left w:val="single" w:sz="4" w:space="0" w:color="auto"/>
              <w:bottom w:val="single" w:sz="4" w:space="0" w:color="auto"/>
              <w:right w:val="single" w:sz="4" w:space="0" w:color="auto"/>
            </w:tcBorders>
            <w:hideMark/>
          </w:tcPr>
          <w:p w14:paraId="1B8BC0A2" w14:textId="77777777" w:rsidR="00D65E53" w:rsidRPr="00D65E53" w:rsidRDefault="00D65E53">
            <w:pPr>
              <w:pStyle w:val="Textebrut"/>
              <w:rPr>
                <w:rFonts w:asciiTheme="minorHAnsi" w:hAnsiTheme="minorHAnsi" w:cstheme="minorHAnsi"/>
                <w:bCs/>
                <w:sz w:val="24"/>
                <w:szCs w:val="24"/>
              </w:rPr>
            </w:pPr>
            <w:r w:rsidRPr="00D65E53">
              <w:rPr>
                <w:rFonts w:asciiTheme="minorHAnsi" w:hAnsiTheme="minorHAnsi" w:cstheme="minorHAnsi"/>
                <w:bCs/>
                <w:sz w:val="24"/>
                <w:szCs w:val="24"/>
              </w:rPr>
              <w:t>Samira Ben Khader</w:t>
            </w:r>
          </w:p>
        </w:tc>
        <w:tc>
          <w:tcPr>
            <w:tcW w:w="5131" w:type="dxa"/>
            <w:tcBorders>
              <w:top w:val="single" w:sz="4" w:space="0" w:color="auto"/>
              <w:left w:val="single" w:sz="4" w:space="0" w:color="auto"/>
              <w:bottom w:val="single" w:sz="4" w:space="0" w:color="auto"/>
              <w:right w:val="single" w:sz="4" w:space="0" w:color="auto"/>
            </w:tcBorders>
            <w:hideMark/>
          </w:tcPr>
          <w:p w14:paraId="5B69C4E4" w14:textId="77777777" w:rsidR="00D65E53" w:rsidRPr="00D65E53" w:rsidRDefault="00D65E53">
            <w:pPr>
              <w:rPr>
                <w:rFonts w:cstheme="minorHAnsi"/>
                <w:bCs/>
                <w:sz w:val="24"/>
                <w:szCs w:val="24"/>
              </w:rPr>
            </w:pPr>
            <w:r w:rsidRPr="00D65E53">
              <w:rPr>
                <w:rFonts w:cstheme="minorHAnsi"/>
                <w:bCs/>
                <w:sz w:val="24"/>
                <w:szCs w:val="24"/>
              </w:rPr>
              <w:t>Ministère de la femme</w:t>
            </w:r>
          </w:p>
        </w:tc>
      </w:tr>
      <w:tr w:rsidR="00D65E53" w14:paraId="46B3D84E" w14:textId="77777777" w:rsidTr="00043D2A">
        <w:tc>
          <w:tcPr>
            <w:tcW w:w="3936" w:type="dxa"/>
            <w:tcBorders>
              <w:top w:val="single" w:sz="4" w:space="0" w:color="auto"/>
              <w:left w:val="single" w:sz="4" w:space="0" w:color="auto"/>
              <w:bottom w:val="single" w:sz="4" w:space="0" w:color="auto"/>
              <w:right w:val="single" w:sz="4" w:space="0" w:color="auto"/>
            </w:tcBorders>
            <w:hideMark/>
          </w:tcPr>
          <w:p w14:paraId="0FDC2F6A" w14:textId="77777777" w:rsidR="00D65E53" w:rsidRPr="00D65E53" w:rsidRDefault="00D65E53">
            <w:pPr>
              <w:pStyle w:val="Textebrut"/>
              <w:rPr>
                <w:rFonts w:asciiTheme="minorHAnsi" w:hAnsiTheme="minorHAnsi" w:cstheme="minorHAnsi"/>
                <w:bCs/>
                <w:sz w:val="24"/>
                <w:szCs w:val="24"/>
              </w:rPr>
            </w:pPr>
            <w:r w:rsidRPr="00D65E53">
              <w:rPr>
                <w:rFonts w:asciiTheme="minorHAnsi" w:hAnsiTheme="minorHAnsi" w:cstheme="minorHAnsi"/>
                <w:bCs/>
                <w:sz w:val="24"/>
                <w:szCs w:val="24"/>
              </w:rPr>
              <w:t>Sihem Mansouri</w:t>
            </w:r>
          </w:p>
        </w:tc>
        <w:tc>
          <w:tcPr>
            <w:tcW w:w="5131" w:type="dxa"/>
            <w:tcBorders>
              <w:top w:val="single" w:sz="4" w:space="0" w:color="auto"/>
              <w:left w:val="single" w:sz="4" w:space="0" w:color="auto"/>
              <w:bottom w:val="single" w:sz="4" w:space="0" w:color="auto"/>
              <w:right w:val="single" w:sz="4" w:space="0" w:color="auto"/>
            </w:tcBorders>
            <w:hideMark/>
          </w:tcPr>
          <w:p w14:paraId="0D13ABD6" w14:textId="770F36A5" w:rsidR="00D65E53" w:rsidRPr="00D65E53" w:rsidRDefault="00D65E53">
            <w:pPr>
              <w:rPr>
                <w:rFonts w:cstheme="minorHAnsi"/>
                <w:bCs/>
                <w:sz w:val="24"/>
                <w:szCs w:val="24"/>
              </w:rPr>
            </w:pPr>
            <w:r w:rsidRPr="00D65E53">
              <w:rPr>
                <w:rFonts w:cstheme="minorHAnsi"/>
                <w:bCs/>
                <w:sz w:val="24"/>
                <w:szCs w:val="24"/>
              </w:rPr>
              <w:t>SONEDE</w:t>
            </w:r>
          </w:p>
        </w:tc>
      </w:tr>
    </w:tbl>
    <w:p w14:paraId="400882C8" w14:textId="7C7DFE93" w:rsidR="00D65E53" w:rsidRDefault="00D65E53">
      <w:pPr>
        <w:rPr>
          <w:rFonts w:asciiTheme="majorHAnsi" w:eastAsiaTheme="majorEastAsia" w:hAnsiTheme="majorHAnsi" w:cstheme="majorBidi"/>
          <w:b/>
          <w:bCs/>
          <w:caps/>
          <w:color w:val="FFFFFF" w:themeColor="background1"/>
          <w:sz w:val="28"/>
          <w:szCs w:val="28"/>
        </w:rPr>
      </w:pPr>
      <w:r>
        <w:t xml:space="preserve"> </w:t>
      </w:r>
      <w:r>
        <w:br w:type="page"/>
      </w:r>
    </w:p>
    <w:p w14:paraId="5457F3D9" w14:textId="4B48B9B0" w:rsidR="00FC2A37" w:rsidRPr="007920A9" w:rsidRDefault="00990EC4" w:rsidP="003031BA">
      <w:pPr>
        <w:pStyle w:val="Titre1"/>
        <w:jc w:val="left"/>
      </w:pPr>
      <w:bookmarkStart w:id="45" w:name="_Toc496544792"/>
      <w:r>
        <w:t>Annexe C</w:t>
      </w:r>
      <w:r w:rsidR="001C0BC0">
        <w:t xml:space="preserve"> </w:t>
      </w:r>
      <w:r w:rsidR="008B3687" w:rsidRPr="007920A9">
        <w:t>- Jeux de données généraux</w:t>
      </w:r>
      <w:bookmarkEnd w:id="43"/>
      <w:bookmarkEnd w:id="45"/>
    </w:p>
    <w:p w14:paraId="4D32AD3D" w14:textId="421EB685" w:rsidR="008B3687" w:rsidRDefault="00B679B6" w:rsidP="00026C12">
      <w:pPr>
        <w:jc w:val="both"/>
        <w:rPr>
          <w:sz w:val="24"/>
        </w:rPr>
      </w:pPr>
      <w:r w:rsidRPr="007920A9">
        <w:rPr>
          <w:sz w:val="24"/>
        </w:rPr>
        <w:t>Cette section décrit les jeux de données identifiées et leur disponibilité pour une publication sur le portail de données à brève échéance.</w:t>
      </w:r>
      <w:r w:rsidR="004335B7">
        <w:rPr>
          <w:sz w:val="24"/>
        </w:rPr>
        <w:t xml:space="preserve"> Cette liste n’est en aucun cas exhaustive et est basée uniquement sur les informations collectées lors de l’étude préliminaire ou lors des rencontres.</w:t>
      </w:r>
    </w:p>
    <w:tbl>
      <w:tblPr>
        <w:tblW w:w="963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8"/>
        <w:gridCol w:w="1672"/>
        <w:gridCol w:w="2212"/>
        <w:gridCol w:w="1701"/>
        <w:gridCol w:w="2126"/>
      </w:tblGrid>
      <w:tr w:rsidR="00D7479E" w:rsidRPr="005217B7" w14:paraId="72EBCB82" w14:textId="1CA18EDD" w:rsidTr="00974263">
        <w:trPr>
          <w:trHeight w:val="589"/>
        </w:trPr>
        <w:tc>
          <w:tcPr>
            <w:tcW w:w="1928" w:type="dxa"/>
            <w:shd w:val="clear" w:color="auto" w:fill="FBD4B4" w:themeFill="accent6" w:themeFillTint="66"/>
          </w:tcPr>
          <w:p w14:paraId="48858515" w14:textId="13CF099D" w:rsidR="00D7479E" w:rsidRPr="00A113C0" w:rsidRDefault="00D7479E" w:rsidP="00AD60D0">
            <w:pPr>
              <w:rPr>
                <w:rFonts w:cstheme="minorHAnsi"/>
                <w:b/>
              </w:rPr>
            </w:pPr>
            <w:r w:rsidRPr="00A113C0">
              <w:rPr>
                <w:rFonts w:cstheme="minorHAnsi"/>
                <w:b/>
              </w:rPr>
              <w:t>Jeux/</w:t>
            </w:r>
            <w:r w:rsidR="003031BA" w:rsidRPr="00A113C0">
              <w:rPr>
                <w:rFonts w:cstheme="minorHAnsi"/>
                <w:b/>
              </w:rPr>
              <w:t xml:space="preserve"> </w:t>
            </w:r>
            <w:r w:rsidRPr="00A113C0">
              <w:rPr>
                <w:rFonts w:cstheme="minorHAnsi"/>
                <w:b/>
              </w:rPr>
              <w:t xml:space="preserve">Portail de données </w:t>
            </w:r>
          </w:p>
        </w:tc>
        <w:tc>
          <w:tcPr>
            <w:tcW w:w="1672" w:type="dxa"/>
            <w:shd w:val="clear" w:color="auto" w:fill="FBD4B4" w:themeFill="accent6" w:themeFillTint="66"/>
          </w:tcPr>
          <w:p w14:paraId="454F4F92" w14:textId="5B00D7E2" w:rsidR="00D7479E" w:rsidRPr="00A113C0" w:rsidRDefault="00D7479E" w:rsidP="00AD60D0">
            <w:pPr>
              <w:rPr>
                <w:rFonts w:cstheme="minorHAnsi"/>
                <w:b/>
              </w:rPr>
            </w:pPr>
            <w:r w:rsidRPr="00A113C0">
              <w:rPr>
                <w:rFonts w:cstheme="minorHAnsi"/>
                <w:b/>
              </w:rPr>
              <w:t>Ministère/</w:t>
            </w:r>
            <w:r w:rsidR="003031BA" w:rsidRPr="00A113C0">
              <w:rPr>
                <w:rFonts w:cstheme="minorHAnsi"/>
                <w:b/>
              </w:rPr>
              <w:t xml:space="preserve"> </w:t>
            </w:r>
            <w:r w:rsidRPr="00A113C0">
              <w:rPr>
                <w:rFonts w:cstheme="minorHAnsi"/>
                <w:b/>
              </w:rPr>
              <w:t>Agence en charge</w:t>
            </w:r>
          </w:p>
        </w:tc>
        <w:tc>
          <w:tcPr>
            <w:tcW w:w="2212" w:type="dxa"/>
            <w:shd w:val="clear" w:color="auto" w:fill="FBD4B4" w:themeFill="accent6" w:themeFillTint="66"/>
          </w:tcPr>
          <w:p w14:paraId="0EAC5ED2" w14:textId="77777777" w:rsidR="00D7479E" w:rsidRPr="00A113C0" w:rsidRDefault="00D7479E" w:rsidP="00AD60D0">
            <w:pPr>
              <w:rPr>
                <w:rFonts w:cstheme="minorHAnsi"/>
                <w:b/>
              </w:rPr>
            </w:pPr>
            <w:r w:rsidRPr="00A113C0">
              <w:rPr>
                <w:rFonts w:cstheme="minorHAnsi"/>
                <w:b/>
              </w:rPr>
              <w:t>Contenu</w:t>
            </w:r>
          </w:p>
        </w:tc>
        <w:tc>
          <w:tcPr>
            <w:tcW w:w="1701" w:type="dxa"/>
            <w:shd w:val="clear" w:color="auto" w:fill="FBD4B4" w:themeFill="accent6" w:themeFillTint="66"/>
          </w:tcPr>
          <w:p w14:paraId="05BE5C69" w14:textId="77777777" w:rsidR="00D7479E" w:rsidRPr="00A113C0" w:rsidRDefault="00D7479E" w:rsidP="00AD60D0">
            <w:pPr>
              <w:rPr>
                <w:rFonts w:cstheme="minorHAnsi"/>
                <w:b/>
              </w:rPr>
            </w:pPr>
            <w:r w:rsidRPr="00A113C0">
              <w:rPr>
                <w:rFonts w:cstheme="minorHAnsi"/>
                <w:b/>
              </w:rPr>
              <w:t>Commentaires</w:t>
            </w:r>
          </w:p>
        </w:tc>
        <w:tc>
          <w:tcPr>
            <w:tcW w:w="2126" w:type="dxa"/>
            <w:shd w:val="clear" w:color="auto" w:fill="FBD4B4" w:themeFill="accent6" w:themeFillTint="66"/>
          </w:tcPr>
          <w:p w14:paraId="7CF285E1" w14:textId="1771BA03" w:rsidR="00D7479E" w:rsidRPr="00A113C0" w:rsidRDefault="00D7479E" w:rsidP="00AD60D0">
            <w:pPr>
              <w:rPr>
                <w:rFonts w:cstheme="minorHAnsi"/>
                <w:b/>
              </w:rPr>
            </w:pPr>
            <w:r w:rsidRPr="00A113C0">
              <w:rPr>
                <w:rFonts w:cstheme="minorHAnsi"/>
                <w:b/>
              </w:rPr>
              <w:t>Action Recommandée</w:t>
            </w:r>
            <w:r w:rsidR="00B95919" w:rsidRPr="00A113C0">
              <w:rPr>
                <w:rFonts w:cstheme="minorHAnsi"/>
                <w:b/>
              </w:rPr>
              <w:t xml:space="preserve"> </w:t>
            </w:r>
          </w:p>
        </w:tc>
      </w:tr>
      <w:tr w:rsidR="00D7479E" w:rsidRPr="005217B7" w14:paraId="5604CD31" w14:textId="7F070185" w:rsidTr="00974263">
        <w:trPr>
          <w:trHeight w:val="2947"/>
        </w:trPr>
        <w:tc>
          <w:tcPr>
            <w:tcW w:w="1928" w:type="dxa"/>
          </w:tcPr>
          <w:p w14:paraId="5AEB303D" w14:textId="77777777" w:rsidR="00D7479E" w:rsidRPr="00A113C0" w:rsidRDefault="00D7479E" w:rsidP="00AD60D0">
            <w:pPr>
              <w:spacing w:line="256" w:lineRule="auto"/>
              <w:rPr>
                <w:rFonts w:cstheme="minorHAnsi"/>
              </w:rPr>
            </w:pPr>
            <w:r w:rsidRPr="00A113C0">
              <w:rPr>
                <w:rFonts w:cstheme="minorHAnsi"/>
              </w:rPr>
              <w:t xml:space="preserve">Portail de données ouvertes Open data portal : </w:t>
            </w:r>
            <w:hyperlink r:id="rId47" w:history="1">
              <w:r w:rsidRPr="00A113C0">
                <w:rPr>
                  <w:rStyle w:val="Lienhypertexte"/>
                  <w:rFonts w:cstheme="minorHAnsi"/>
                </w:rPr>
                <w:t>http://fr.data.gov.tn/</w:t>
              </w:r>
            </w:hyperlink>
          </w:p>
          <w:p w14:paraId="0BA6714D" w14:textId="77777777" w:rsidR="00D7479E" w:rsidRPr="00A113C0" w:rsidRDefault="00D7479E" w:rsidP="00AD60D0">
            <w:pPr>
              <w:rPr>
                <w:rFonts w:cstheme="minorHAnsi"/>
              </w:rPr>
            </w:pPr>
          </w:p>
        </w:tc>
        <w:tc>
          <w:tcPr>
            <w:tcW w:w="1672" w:type="dxa"/>
          </w:tcPr>
          <w:p w14:paraId="0B5541FC" w14:textId="7526EC13" w:rsidR="00D7479E" w:rsidRPr="00A113C0" w:rsidRDefault="006F7884" w:rsidP="00AD60D0">
            <w:pPr>
              <w:rPr>
                <w:rFonts w:cstheme="minorHAnsi"/>
              </w:rPr>
            </w:pPr>
            <w:r w:rsidRPr="00A113C0">
              <w:rPr>
                <w:rFonts w:cstheme="minorHAnsi"/>
              </w:rPr>
              <w:t xml:space="preserve">UAE </w:t>
            </w:r>
          </w:p>
        </w:tc>
        <w:tc>
          <w:tcPr>
            <w:tcW w:w="2212" w:type="dxa"/>
          </w:tcPr>
          <w:p w14:paraId="60D11E10" w14:textId="77777777" w:rsidR="00D7479E" w:rsidRPr="00A113C0" w:rsidRDefault="00D7479E" w:rsidP="00AD60D0">
            <w:pPr>
              <w:rPr>
                <w:rFonts w:cstheme="minorHAnsi"/>
              </w:rPr>
            </w:pPr>
            <w:r w:rsidRPr="00A113C0">
              <w:rPr>
                <w:rFonts w:cstheme="minorHAnsi"/>
              </w:rPr>
              <w:t>Données de 12 secteurs différents pour un total de 268 jeux de données dont la majorité vient des données EITI</w:t>
            </w:r>
          </w:p>
        </w:tc>
        <w:tc>
          <w:tcPr>
            <w:tcW w:w="1701" w:type="dxa"/>
          </w:tcPr>
          <w:p w14:paraId="517B2A85" w14:textId="77777777" w:rsidR="00D7479E" w:rsidRPr="00A113C0" w:rsidRDefault="00D7479E" w:rsidP="00AD60D0">
            <w:pPr>
              <w:rPr>
                <w:rFonts w:cstheme="minorHAnsi"/>
              </w:rPr>
            </w:pPr>
            <w:r w:rsidRPr="00A113C0">
              <w:rPr>
                <w:rFonts w:cstheme="minorHAnsi"/>
              </w:rPr>
              <w:t>-API disponible pour les développeurs</w:t>
            </w:r>
          </w:p>
          <w:p w14:paraId="7D1B20EE" w14:textId="77777777" w:rsidR="00D7479E" w:rsidRPr="00A113C0" w:rsidRDefault="00D7479E" w:rsidP="00AD60D0">
            <w:pPr>
              <w:rPr>
                <w:rFonts w:cstheme="minorHAnsi"/>
              </w:rPr>
            </w:pPr>
            <w:r w:rsidRPr="00A113C0">
              <w:rPr>
                <w:rFonts w:cstheme="minorHAnsi"/>
              </w:rPr>
              <w:t>-Jeux de données apparemment régulièrement mis à jour</w:t>
            </w:r>
          </w:p>
          <w:p w14:paraId="14CB4AE4" w14:textId="77777777" w:rsidR="00D7479E" w:rsidRPr="00A113C0" w:rsidRDefault="00D7479E" w:rsidP="00AD60D0">
            <w:pPr>
              <w:rPr>
                <w:rFonts w:cstheme="minorHAnsi"/>
              </w:rPr>
            </w:pPr>
            <w:r w:rsidRPr="00A113C0">
              <w:rPr>
                <w:rFonts w:cstheme="minorHAnsi"/>
              </w:rPr>
              <w:t xml:space="preserve">-plusieurs licences cohabitent </w:t>
            </w:r>
          </w:p>
        </w:tc>
        <w:tc>
          <w:tcPr>
            <w:tcW w:w="2126" w:type="dxa"/>
          </w:tcPr>
          <w:p w14:paraId="2E2DB35F" w14:textId="70C046D4" w:rsidR="00D7479E" w:rsidRPr="00A113C0" w:rsidRDefault="00D7479E" w:rsidP="00AD60D0">
            <w:pPr>
              <w:rPr>
                <w:rFonts w:cstheme="minorHAnsi"/>
              </w:rPr>
            </w:pPr>
            <w:r w:rsidRPr="00A113C0">
              <w:rPr>
                <w:rFonts w:cstheme="minorHAnsi"/>
              </w:rPr>
              <w:t>- Harmonisation des licences</w:t>
            </w:r>
          </w:p>
          <w:p w14:paraId="6737FA94" w14:textId="62F087E8" w:rsidR="00D7479E" w:rsidRPr="00A113C0" w:rsidRDefault="00D7479E" w:rsidP="00AD60D0">
            <w:pPr>
              <w:rPr>
                <w:rFonts w:cstheme="minorHAnsi"/>
              </w:rPr>
            </w:pPr>
            <w:r w:rsidRPr="00A113C0">
              <w:rPr>
                <w:rFonts w:cstheme="minorHAnsi"/>
              </w:rPr>
              <w:t>- Adoption d’un format de métadonnée</w:t>
            </w:r>
            <w:r w:rsidR="00F72866">
              <w:rPr>
                <w:rFonts w:cstheme="minorHAnsi"/>
              </w:rPr>
              <w:t>s</w:t>
            </w:r>
            <w:r w:rsidRPr="00A113C0">
              <w:rPr>
                <w:rFonts w:cstheme="minorHAnsi"/>
              </w:rPr>
              <w:t xml:space="preserve"> standard pour </w:t>
            </w:r>
            <w:r w:rsidR="002B413B" w:rsidRPr="00A113C0">
              <w:rPr>
                <w:rFonts w:cstheme="minorHAnsi"/>
              </w:rPr>
              <w:t>tous les jeux</w:t>
            </w:r>
            <w:r w:rsidRPr="00A113C0">
              <w:rPr>
                <w:rFonts w:cstheme="minorHAnsi"/>
              </w:rPr>
              <w:t xml:space="preserve"> de données</w:t>
            </w:r>
          </w:p>
          <w:p w14:paraId="12B40177" w14:textId="2E911AA0" w:rsidR="00990EC4" w:rsidRPr="00A113C0" w:rsidRDefault="00990EC4" w:rsidP="00AD60D0">
            <w:pPr>
              <w:rPr>
                <w:rFonts w:cstheme="minorHAnsi"/>
              </w:rPr>
            </w:pPr>
            <w:r w:rsidRPr="00A113C0">
              <w:rPr>
                <w:rFonts w:cstheme="minorHAnsi"/>
              </w:rPr>
              <w:t>- analyse fine des jeux de données publiés : certain</w:t>
            </w:r>
            <w:r w:rsidR="00F72866">
              <w:rPr>
                <w:rFonts w:cstheme="minorHAnsi"/>
              </w:rPr>
              <w:t>s</w:t>
            </w:r>
            <w:r w:rsidRPr="00A113C0">
              <w:rPr>
                <w:rFonts w:cstheme="minorHAnsi"/>
              </w:rPr>
              <w:t xml:space="preserve"> sont juste des liens vers des form</w:t>
            </w:r>
            <w:r w:rsidR="001045F9">
              <w:rPr>
                <w:rFonts w:cstheme="minorHAnsi"/>
              </w:rPr>
              <w:t>ulaires</w:t>
            </w:r>
            <w:r w:rsidRPr="00A113C0">
              <w:rPr>
                <w:rFonts w:cstheme="minorHAnsi"/>
              </w:rPr>
              <w:t xml:space="preserve"> web, donc </w:t>
            </w:r>
            <w:r w:rsidR="00F72866">
              <w:rPr>
                <w:rFonts w:cstheme="minorHAnsi"/>
              </w:rPr>
              <w:t>non</w:t>
            </w:r>
            <w:r w:rsidR="00F72866" w:rsidRPr="00A113C0">
              <w:rPr>
                <w:rFonts w:cstheme="minorHAnsi"/>
              </w:rPr>
              <w:t xml:space="preserve"> </w:t>
            </w:r>
            <w:r w:rsidRPr="00A113C0">
              <w:rPr>
                <w:rFonts w:cstheme="minorHAnsi"/>
              </w:rPr>
              <w:t>exploitables</w:t>
            </w:r>
          </w:p>
          <w:p w14:paraId="4AD24407" w14:textId="0D6B3306" w:rsidR="00D7479E" w:rsidRPr="00A113C0" w:rsidRDefault="00D7479E" w:rsidP="00AD60D0">
            <w:pPr>
              <w:rPr>
                <w:rFonts w:cstheme="minorHAnsi"/>
              </w:rPr>
            </w:pPr>
          </w:p>
        </w:tc>
      </w:tr>
      <w:tr w:rsidR="00D7479E" w:rsidRPr="005217B7" w14:paraId="73343493" w14:textId="7F888BFE" w:rsidTr="00974263">
        <w:trPr>
          <w:trHeight w:val="1611"/>
        </w:trPr>
        <w:tc>
          <w:tcPr>
            <w:tcW w:w="1928" w:type="dxa"/>
          </w:tcPr>
          <w:p w14:paraId="1140ABC4" w14:textId="77777777" w:rsidR="00D7479E" w:rsidRPr="00A113C0" w:rsidRDefault="00E8606D" w:rsidP="00AD60D0">
            <w:pPr>
              <w:rPr>
                <w:rFonts w:cstheme="minorHAnsi"/>
              </w:rPr>
            </w:pPr>
            <w:hyperlink r:id="rId48" w:history="1">
              <w:r w:rsidR="00D7479E" w:rsidRPr="00A113C0">
                <w:rPr>
                  <w:rStyle w:val="Lienhypertexte"/>
                  <w:rFonts w:cstheme="minorHAnsi"/>
                </w:rPr>
                <w:t>http://catalog.industrie.gov.tn/</w:t>
              </w:r>
            </w:hyperlink>
            <w:r w:rsidR="00D7479E" w:rsidRPr="00A113C0">
              <w:rPr>
                <w:rFonts w:cstheme="minorHAnsi"/>
              </w:rPr>
              <w:t xml:space="preserve">    </w:t>
            </w:r>
          </w:p>
          <w:p w14:paraId="790A454F" w14:textId="77777777" w:rsidR="00D7479E" w:rsidRPr="00A113C0" w:rsidRDefault="00D7479E" w:rsidP="00AD60D0">
            <w:pPr>
              <w:rPr>
                <w:rFonts w:cstheme="minorHAnsi"/>
              </w:rPr>
            </w:pPr>
          </w:p>
        </w:tc>
        <w:tc>
          <w:tcPr>
            <w:tcW w:w="1672" w:type="dxa"/>
          </w:tcPr>
          <w:p w14:paraId="1A11D001" w14:textId="19612449" w:rsidR="00D7479E" w:rsidRPr="00A113C0" w:rsidRDefault="00D7479E" w:rsidP="00AD60D0">
            <w:pPr>
              <w:rPr>
                <w:rFonts w:cstheme="minorHAnsi"/>
              </w:rPr>
            </w:pPr>
            <w:r w:rsidRPr="00A113C0">
              <w:rPr>
                <w:rFonts w:cstheme="minorHAnsi"/>
              </w:rPr>
              <w:t>Ministère de l’industrie</w:t>
            </w:r>
            <w:r w:rsidR="000E2B23">
              <w:rPr>
                <w:rFonts w:cstheme="minorHAnsi"/>
              </w:rPr>
              <w:t xml:space="preserve"> et des PMEs</w:t>
            </w:r>
            <w:r w:rsidRPr="00A113C0">
              <w:rPr>
                <w:rFonts w:cstheme="minorHAnsi"/>
              </w:rPr>
              <w:t xml:space="preserve">, </w:t>
            </w:r>
            <w:r w:rsidR="000E2B23">
              <w:rPr>
                <w:rFonts w:cstheme="minorHAnsi"/>
              </w:rPr>
              <w:t xml:space="preserve">Ministères </w:t>
            </w:r>
            <w:r w:rsidRPr="00A113C0">
              <w:rPr>
                <w:rFonts w:cstheme="minorHAnsi"/>
              </w:rPr>
              <w:t>des mines et de</w:t>
            </w:r>
            <w:r w:rsidR="000E2B23">
              <w:rPr>
                <w:rFonts w:cstheme="minorHAnsi"/>
              </w:rPr>
              <w:t>s</w:t>
            </w:r>
            <w:r w:rsidRPr="00A113C0">
              <w:rPr>
                <w:rFonts w:cstheme="minorHAnsi"/>
              </w:rPr>
              <w:t>Energie</w:t>
            </w:r>
            <w:r w:rsidR="000E2B23">
              <w:rPr>
                <w:rFonts w:cstheme="minorHAnsi"/>
              </w:rPr>
              <w:t>s renouvelables</w:t>
            </w:r>
          </w:p>
        </w:tc>
        <w:tc>
          <w:tcPr>
            <w:tcW w:w="2212" w:type="dxa"/>
          </w:tcPr>
          <w:p w14:paraId="386563D8" w14:textId="32883E84" w:rsidR="00D7479E" w:rsidRPr="00A113C0" w:rsidRDefault="00990EC4" w:rsidP="00AD60D0">
            <w:pPr>
              <w:rPr>
                <w:rFonts w:cstheme="minorHAnsi"/>
              </w:rPr>
            </w:pPr>
            <w:r w:rsidRPr="00A113C0">
              <w:rPr>
                <w:rFonts w:cstheme="minorHAnsi"/>
              </w:rPr>
              <w:t xml:space="preserve">Données </w:t>
            </w:r>
            <w:r w:rsidR="00D7479E" w:rsidRPr="00A113C0">
              <w:rPr>
                <w:rFonts w:cstheme="minorHAnsi"/>
              </w:rPr>
              <w:t>ITI</w:t>
            </w:r>
            <w:r w:rsidRPr="00A113C0">
              <w:rPr>
                <w:rFonts w:cstheme="minorHAnsi"/>
              </w:rPr>
              <w:t>E</w:t>
            </w:r>
          </w:p>
        </w:tc>
        <w:tc>
          <w:tcPr>
            <w:tcW w:w="1701" w:type="dxa"/>
          </w:tcPr>
          <w:p w14:paraId="24B43920" w14:textId="77777777" w:rsidR="00D7479E" w:rsidRPr="00A113C0" w:rsidRDefault="00D7479E" w:rsidP="00AD60D0">
            <w:pPr>
              <w:rPr>
                <w:rFonts w:cstheme="minorHAnsi"/>
              </w:rPr>
            </w:pPr>
            <w:r w:rsidRPr="00A113C0">
              <w:rPr>
                <w:rFonts w:cstheme="minorHAnsi"/>
              </w:rPr>
              <w:t>-Plusieurs types de licences et certains jeux sans licences</w:t>
            </w:r>
          </w:p>
          <w:p w14:paraId="31004A6E" w14:textId="77777777" w:rsidR="00D7479E" w:rsidRPr="00A113C0" w:rsidRDefault="00D7479E" w:rsidP="00AD60D0">
            <w:pPr>
              <w:rPr>
                <w:rFonts w:cstheme="minorHAnsi"/>
              </w:rPr>
            </w:pPr>
            <w:r w:rsidRPr="00A113C0">
              <w:rPr>
                <w:rFonts w:cstheme="minorHAnsi"/>
              </w:rPr>
              <w:t>-absence d’API développeur</w:t>
            </w:r>
          </w:p>
        </w:tc>
        <w:tc>
          <w:tcPr>
            <w:tcW w:w="2126" w:type="dxa"/>
          </w:tcPr>
          <w:p w14:paraId="0B90BC7A" w14:textId="77777777" w:rsidR="00D7479E" w:rsidRPr="00A113C0" w:rsidRDefault="00D7479E" w:rsidP="00D7479E">
            <w:pPr>
              <w:rPr>
                <w:rFonts w:cstheme="minorHAnsi"/>
              </w:rPr>
            </w:pPr>
            <w:r w:rsidRPr="00A113C0">
              <w:rPr>
                <w:rFonts w:cstheme="minorHAnsi"/>
              </w:rPr>
              <w:t>- Harmonisation des licences</w:t>
            </w:r>
          </w:p>
          <w:p w14:paraId="346F8C1B" w14:textId="7D1140ED" w:rsidR="00D7479E" w:rsidRPr="00A113C0" w:rsidRDefault="00D7479E" w:rsidP="00AD60D0">
            <w:pPr>
              <w:rPr>
                <w:rFonts w:cstheme="minorHAnsi"/>
              </w:rPr>
            </w:pPr>
            <w:r w:rsidRPr="00A113C0">
              <w:rPr>
                <w:rFonts w:cstheme="minorHAnsi"/>
              </w:rPr>
              <w:t xml:space="preserve">- Publication </w:t>
            </w:r>
            <w:r w:rsidR="00B95919" w:rsidRPr="00A113C0">
              <w:rPr>
                <w:rFonts w:cstheme="minorHAnsi"/>
              </w:rPr>
              <w:t xml:space="preserve">complète </w:t>
            </w:r>
            <w:r w:rsidR="000E2B23">
              <w:rPr>
                <w:rFonts w:cstheme="minorHAnsi"/>
              </w:rPr>
              <w:t xml:space="preserve">du catalogue </w:t>
            </w:r>
            <w:r w:rsidR="00B95919" w:rsidRPr="00A113C0">
              <w:rPr>
                <w:rFonts w:cstheme="minorHAnsi"/>
              </w:rPr>
              <w:t>sur le portail central</w:t>
            </w:r>
          </w:p>
        </w:tc>
      </w:tr>
      <w:tr w:rsidR="00D7479E" w:rsidRPr="005217B7" w14:paraId="4C163EF7" w14:textId="365EB2F6" w:rsidTr="00974263">
        <w:trPr>
          <w:trHeight w:val="3222"/>
        </w:trPr>
        <w:tc>
          <w:tcPr>
            <w:tcW w:w="1928" w:type="dxa"/>
          </w:tcPr>
          <w:p w14:paraId="34D1EAB5" w14:textId="77777777" w:rsidR="00D7479E" w:rsidRPr="00A113C0" w:rsidRDefault="00E8606D" w:rsidP="00AD60D0">
            <w:pPr>
              <w:rPr>
                <w:rFonts w:cstheme="minorHAnsi"/>
              </w:rPr>
            </w:pPr>
            <w:hyperlink r:id="rId49" w:history="1">
              <w:r w:rsidR="00D7479E" w:rsidRPr="00A113C0">
                <w:rPr>
                  <w:rStyle w:val="Lienhypertexte"/>
                  <w:rFonts w:cstheme="minorHAnsi"/>
                </w:rPr>
                <w:t>http://dataportal.ins.tn/</w:t>
              </w:r>
            </w:hyperlink>
            <w:r w:rsidR="00D7479E" w:rsidRPr="00A113C0">
              <w:rPr>
                <w:rFonts w:cstheme="minorHAnsi"/>
              </w:rPr>
              <w:t xml:space="preserve">  </w:t>
            </w:r>
          </w:p>
          <w:p w14:paraId="7425EC9B" w14:textId="77777777" w:rsidR="00D7479E" w:rsidRPr="00A113C0" w:rsidRDefault="00D7479E" w:rsidP="00AD60D0">
            <w:pPr>
              <w:rPr>
                <w:rFonts w:cstheme="minorHAnsi"/>
              </w:rPr>
            </w:pPr>
            <w:r w:rsidRPr="00A113C0">
              <w:rPr>
                <w:rFonts w:cstheme="minorHAnsi"/>
              </w:rPr>
              <w:t>Autres portails</w:t>
            </w:r>
          </w:p>
          <w:p w14:paraId="6DF2E1C1" w14:textId="7CC75630" w:rsidR="00D7479E" w:rsidRPr="00A113C0" w:rsidRDefault="00D7479E" w:rsidP="00AD60D0">
            <w:pPr>
              <w:rPr>
                <w:rFonts w:cstheme="minorHAnsi"/>
              </w:rPr>
            </w:pPr>
            <w:r w:rsidRPr="00A113C0">
              <w:rPr>
                <w:rFonts w:cstheme="minorHAnsi"/>
              </w:rPr>
              <w:t>•</w:t>
            </w:r>
            <w:r w:rsidRPr="00A113C0">
              <w:rPr>
                <w:rFonts w:cstheme="minorHAnsi"/>
              </w:rPr>
              <w:tab/>
            </w:r>
            <w:r w:rsidR="005761D2" w:rsidRPr="00A113C0">
              <w:rPr>
                <w:rFonts w:cstheme="minorHAnsi"/>
              </w:rPr>
              <w:t>Région</w:t>
            </w:r>
            <w:r w:rsidRPr="00A113C0">
              <w:rPr>
                <w:rFonts w:cstheme="minorHAnsi"/>
              </w:rPr>
              <w:t xml:space="preserve">: </w:t>
            </w:r>
            <w:hyperlink r:id="rId50" w:history="1">
              <w:r w:rsidRPr="00A113C0">
                <w:rPr>
                  <w:rStyle w:val="Lienhypertexte"/>
                  <w:rFonts w:cstheme="minorHAnsi"/>
                </w:rPr>
                <w:t>http://regions.ins.tn/</w:t>
              </w:r>
            </w:hyperlink>
            <w:r w:rsidRPr="00A113C0">
              <w:rPr>
                <w:rFonts w:cstheme="minorHAnsi"/>
              </w:rPr>
              <w:t xml:space="preserve"> </w:t>
            </w:r>
          </w:p>
          <w:p w14:paraId="19CB953D" w14:textId="77777777" w:rsidR="00D7479E" w:rsidRPr="00A113C0" w:rsidRDefault="00D7479E" w:rsidP="00AD60D0">
            <w:pPr>
              <w:rPr>
                <w:rFonts w:cstheme="minorHAnsi"/>
              </w:rPr>
            </w:pPr>
            <w:r w:rsidRPr="00A113C0">
              <w:rPr>
                <w:rFonts w:cstheme="minorHAnsi"/>
              </w:rPr>
              <w:t>•</w:t>
            </w:r>
            <w:r w:rsidRPr="00A113C0">
              <w:rPr>
                <w:rFonts w:cstheme="minorHAnsi"/>
              </w:rPr>
              <w:tab/>
              <w:t xml:space="preserve">Commerce extérieur: </w:t>
            </w:r>
            <w:hyperlink r:id="rId51" w:history="1">
              <w:r w:rsidRPr="00A113C0">
                <w:rPr>
                  <w:rStyle w:val="Lienhypertexte"/>
                  <w:rFonts w:cstheme="minorHAnsi"/>
                </w:rPr>
                <w:t>http://comtrade.ins.tn/</w:t>
              </w:r>
            </w:hyperlink>
            <w:r w:rsidRPr="00A113C0">
              <w:rPr>
                <w:rFonts w:cstheme="minorHAnsi"/>
              </w:rPr>
              <w:t xml:space="preserve">   </w:t>
            </w:r>
          </w:p>
          <w:p w14:paraId="3228FCD5" w14:textId="77777777" w:rsidR="00D7479E" w:rsidRPr="00A113C0" w:rsidRDefault="00D7479E" w:rsidP="00AD60D0">
            <w:pPr>
              <w:rPr>
                <w:rFonts w:cstheme="minorHAnsi"/>
              </w:rPr>
            </w:pPr>
            <w:r w:rsidRPr="00A113C0">
              <w:rPr>
                <w:rFonts w:cstheme="minorHAnsi"/>
              </w:rPr>
              <w:t>•</w:t>
            </w:r>
            <w:r w:rsidRPr="00A113C0">
              <w:rPr>
                <w:rFonts w:cstheme="minorHAnsi"/>
              </w:rPr>
              <w:tab/>
              <w:t xml:space="preserve">Micro données : </w:t>
            </w:r>
            <w:hyperlink r:id="rId52" w:history="1">
              <w:r w:rsidRPr="00A113C0">
                <w:rPr>
                  <w:rStyle w:val="Lienhypertexte"/>
                  <w:rFonts w:cstheme="minorHAnsi"/>
                </w:rPr>
                <w:t>http://nada.ins.tn/index.php/Accueil</w:t>
              </w:r>
            </w:hyperlink>
            <w:r w:rsidRPr="00A113C0">
              <w:rPr>
                <w:rFonts w:cstheme="minorHAnsi"/>
              </w:rPr>
              <w:t xml:space="preserve"> </w:t>
            </w:r>
          </w:p>
          <w:p w14:paraId="69784FA4" w14:textId="77777777" w:rsidR="00D7479E" w:rsidRPr="00A113C0" w:rsidRDefault="00D7479E" w:rsidP="00AD60D0">
            <w:pPr>
              <w:rPr>
                <w:rFonts w:cstheme="minorHAnsi"/>
              </w:rPr>
            </w:pPr>
          </w:p>
        </w:tc>
        <w:tc>
          <w:tcPr>
            <w:tcW w:w="1672" w:type="dxa"/>
          </w:tcPr>
          <w:p w14:paraId="479445BB" w14:textId="77777777" w:rsidR="00D7479E" w:rsidRPr="00A113C0" w:rsidRDefault="00D7479E" w:rsidP="00AD60D0">
            <w:pPr>
              <w:rPr>
                <w:rFonts w:cstheme="minorHAnsi"/>
              </w:rPr>
            </w:pPr>
            <w:r w:rsidRPr="00A113C0">
              <w:rPr>
                <w:rFonts w:cstheme="minorHAnsi"/>
              </w:rPr>
              <w:t>INS</w:t>
            </w:r>
          </w:p>
        </w:tc>
        <w:tc>
          <w:tcPr>
            <w:tcW w:w="2212" w:type="dxa"/>
          </w:tcPr>
          <w:p w14:paraId="1E43FA24" w14:textId="3462D1D1" w:rsidR="00D7479E" w:rsidRPr="00A113C0" w:rsidRDefault="00D7479E" w:rsidP="00AD60D0">
            <w:pPr>
              <w:rPr>
                <w:rFonts w:cstheme="minorHAnsi"/>
              </w:rPr>
            </w:pPr>
            <w:r w:rsidRPr="00A113C0">
              <w:rPr>
                <w:rFonts w:cstheme="minorHAnsi"/>
              </w:rPr>
              <w:t>Données statistique</w:t>
            </w:r>
            <w:r w:rsidR="00F72866">
              <w:rPr>
                <w:rFonts w:cstheme="minorHAnsi"/>
              </w:rPr>
              <w:t>s</w:t>
            </w:r>
          </w:p>
        </w:tc>
        <w:tc>
          <w:tcPr>
            <w:tcW w:w="1701" w:type="dxa"/>
          </w:tcPr>
          <w:p w14:paraId="30DFFD70" w14:textId="77777777" w:rsidR="00D7479E" w:rsidRPr="00A113C0" w:rsidRDefault="00D7479E" w:rsidP="00AD60D0">
            <w:pPr>
              <w:rPr>
                <w:rFonts w:cstheme="minorHAnsi"/>
              </w:rPr>
            </w:pPr>
            <w:r w:rsidRPr="00A113C0">
              <w:rPr>
                <w:rFonts w:cstheme="minorHAnsi"/>
              </w:rPr>
              <w:t>-API développeur</w:t>
            </w:r>
          </w:p>
          <w:p w14:paraId="1C0A7AAC" w14:textId="77777777" w:rsidR="00D7479E" w:rsidRPr="00A113C0" w:rsidRDefault="00D7479E" w:rsidP="00AD60D0">
            <w:pPr>
              <w:rPr>
                <w:rFonts w:cstheme="minorHAnsi"/>
              </w:rPr>
            </w:pPr>
            <w:r w:rsidRPr="00A113C0">
              <w:rPr>
                <w:rFonts w:cstheme="minorHAnsi"/>
              </w:rPr>
              <w:t>-absence de licence</w:t>
            </w:r>
          </w:p>
          <w:p w14:paraId="5910C8D0" w14:textId="0FB73ABA" w:rsidR="00D7479E" w:rsidRPr="00A113C0" w:rsidRDefault="00D7479E" w:rsidP="00AD60D0">
            <w:pPr>
              <w:rPr>
                <w:rFonts w:cstheme="minorHAnsi"/>
              </w:rPr>
            </w:pPr>
            <w:r w:rsidRPr="00A113C0">
              <w:rPr>
                <w:rFonts w:cstheme="minorHAnsi"/>
              </w:rPr>
              <w:t>-absence d’interface catalogue simple</w:t>
            </w:r>
          </w:p>
          <w:p w14:paraId="73F4B378" w14:textId="77777777" w:rsidR="00D7479E" w:rsidRPr="00A113C0" w:rsidRDefault="00D7479E" w:rsidP="00AD60D0">
            <w:pPr>
              <w:rPr>
                <w:rFonts w:cstheme="minorHAnsi"/>
              </w:rPr>
            </w:pPr>
            <w:r w:rsidRPr="00A113C0">
              <w:rPr>
                <w:rFonts w:cstheme="minorHAnsi"/>
              </w:rPr>
              <w:t>-absence d’export simple pour les données du commerce extérieur</w:t>
            </w:r>
          </w:p>
          <w:p w14:paraId="0D95EF9E" w14:textId="77777777" w:rsidR="00D7479E" w:rsidRPr="00A113C0" w:rsidRDefault="00D7479E" w:rsidP="00AD60D0">
            <w:pPr>
              <w:rPr>
                <w:rFonts w:cstheme="minorHAnsi"/>
              </w:rPr>
            </w:pPr>
            <w:r w:rsidRPr="00A113C0">
              <w:rPr>
                <w:rFonts w:cstheme="minorHAnsi"/>
              </w:rPr>
              <w:t>-données anciennes pour les micro-données et licence fermée</w:t>
            </w:r>
          </w:p>
        </w:tc>
        <w:tc>
          <w:tcPr>
            <w:tcW w:w="2126" w:type="dxa"/>
          </w:tcPr>
          <w:p w14:paraId="23F97643" w14:textId="52E8AD41" w:rsidR="00B95919" w:rsidRPr="00A113C0" w:rsidRDefault="00B95919" w:rsidP="00B95919">
            <w:pPr>
              <w:rPr>
                <w:rFonts w:cstheme="minorHAnsi"/>
              </w:rPr>
            </w:pPr>
            <w:r w:rsidRPr="00A113C0">
              <w:rPr>
                <w:rFonts w:cstheme="minorHAnsi"/>
              </w:rPr>
              <w:t>- Adoption d’une licence ouverte</w:t>
            </w:r>
          </w:p>
          <w:p w14:paraId="343ABFA2" w14:textId="43710E6E" w:rsidR="00B95919" w:rsidRPr="00A113C0" w:rsidRDefault="00B95919" w:rsidP="00B95919">
            <w:pPr>
              <w:rPr>
                <w:rFonts w:cstheme="minorHAnsi"/>
              </w:rPr>
            </w:pPr>
            <w:r w:rsidRPr="00A113C0">
              <w:rPr>
                <w:rFonts w:cstheme="minorHAnsi"/>
              </w:rPr>
              <w:t>- Adoption d’un format de métadonnée</w:t>
            </w:r>
            <w:r w:rsidR="00F72866">
              <w:rPr>
                <w:rFonts w:cstheme="minorHAnsi"/>
              </w:rPr>
              <w:t>s</w:t>
            </w:r>
            <w:r w:rsidRPr="00A113C0">
              <w:rPr>
                <w:rFonts w:cstheme="minorHAnsi"/>
              </w:rPr>
              <w:t xml:space="preserve"> standard pour </w:t>
            </w:r>
            <w:r w:rsidR="002B413B" w:rsidRPr="00A113C0">
              <w:rPr>
                <w:rFonts w:cstheme="minorHAnsi"/>
              </w:rPr>
              <w:t>tous les jeux</w:t>
            </w:r>
            <w:r w:rsidRPr="00A113C0">
              <w:rPr>
                <w:rFonts w:cstheme="minorHAnsi"/>
              </w:rPr>
              <w:t xml:space="preserve"> de données</w:t>
            </w:r>
          </w:p>
          <w:p w14:paraId="26E6FDDD" w14:textId="75E45C7E" w:rsidR="00990EC4" w:rsidRPr="00A113C0" w:rsidRDefault="00990EC4" w:rsidP="00B95919">
            <w:pPr>
              <w:rPr>
                <w:rFonts w:cstheme="minorHAnsi"/>
              </w:rPr>
            </w:pPr>
            <w:r w:rsidRPr="00A113C0">
              <w:rPr>
                <w:rFonts w:cstheme="minorHAnsi"/>
              </w:rPr>
              <w:t>- Publication sous forme de jeux de données</w:t>
            </w:r>
          </w:p>
          <w:p w14:paraId="25CFE0DC" w14:textId="77777777" w:rsidR="00D7479E" w:rsidRPr="00A113C0" w:rsidRDefault="00B95919" w:rsidP="00B95919">
            <w:pPr>
              <w:rPr>
                <w:rFonts w:cstheme="minorHAnsi"/>
              </w:rPr>
            </w:pPr>
            <w:r w:rsidRPr="00A113C0">
              <w:rPr>
                <w:rFonts w:cstheme="minorHAnsi"/>
              </w:rPr>
              <w:t>- Publication complète sur le portail central</w:t>
            </w:r>
          </w:p>
          <w:p w14:paraId="6A046852" w14:textId="6DEA5EC9" w:rsidR="00B95919" w:rsidRPr="00A113C0" w:rsidRDefault="00B95919" w:rsidP="00B95919">
            <w:pPr>
              <w:rPr>
                <w:rFonts w:cstheme="minorHAnsi"/>
              </w:rPr>
            </w:pPr>
            <w:r w:rsidRPr="00A113C0">
              <w:rPr>
                <w:rFonts w:cstheme="minorHAnsi"/>
              </w:rPr>
              <w:t>- Ouverture des micro-données</w:t>
            </w:r>
          </w:p>
        </w:tc>
      </w:tr>
      <w:tr w:rsidR="00D7479E" w:rsidRPr="005217B7" w14:paraId="1EE81229" w14:textId="462313A4" w:rsidTr="00974263">
        <w:trPr>
          <w:trHeight w:val="812"/>
        </w:trPr>
        <w:tc>
          <w:tcPr>
            <w:tcW w:w="1928" w:type="dxa"/>
          </w:tcPr>
          <w:p w14:paraId="0C7A56E9" w14:textId="77777777" w:rsidR="00D7479E" w:rsidRPr="00A113C0" w:rsidRDefault="00E8606D" w:rsidP="00AD60D0">
            <w:pPr>
              <w:rPr>
                <w:rFonts w:cstheme="minorHAnsi"/>
              </w:rPr>
            </w:pPr>
            <w:hyperlink r:id="rId53" w:history="1">
              <w:r w:rsidR="00D7479E" w:rsidRPr="00A113C0">
                <w:rPr>
                  <w:rStyle w:val="Lienhypertexte"/>
                  <w:rFonts w:cstheme="minorHAnsi"/>
                </w:rPr>
                <w:t>http://www.mizaniatouna.gov.tn/tunisia/template_fr/index.html</w:t>
              </w:r>
            </w:hyperlink>
            <w:r w:rsidR="00D7479E" w:rsidRPr="00A113C0">
              <w:rPr>
                <w:rFonts w:cstheme="minorHAnsi"/>
              </w:rPr>
              <w:t xml:space="preserve">  </w:t>
            </w:r>
          </w:p>
          <w:p w14:paraId="4C64DF91" w14:textId="77777777" w:rsidR="00D7479E" w:rsidRPr="00A113C0" w:rsidRDefault="00D7479E" w:rsidP="00AD60D0">
            <w:pPr>
              <w:rPr>
                <w:rFonts w:cstheme="minorHAnsi"/>
              </w:rPr>
            </w:pPr>
          </w:p>
        </w:tc>
        <w:tc>
          <w:tcPr>
            <w:tcW w:w="1672" w:type="dxa"/>
          </w:tcPr>
          <w:p w14:paraId="54E19CFC" w14:textId="77777777" w:rsidR="00D7479E" w:rsidRPr="00A113C0" w:rsidRDefault="00D7479E" w:rsidP="00AD60D0">
            <w:pPr>
              <w:rPr>
                <w:rFonts w:cstheme="minorHAnsi"/>
              </w:rPr>
            </w:pPr>
            <w:r w:rsidRPr="00A113C0">
              <w:rPr>
                <w:rFonts w:cstheme="minorHAnsi"/>
              </w:rPr>
              <w:t xml:space="preserve">Ministère des Finances </w:t>
            </w:r>
          </w:p>
        </w:tc>
        <w:tc>
          <w:tcPr>
            <w:tcW w:w="2212" w:type="dxa"/>
          </w:tcPr>
          <w:p w14:paraId="6E504B2F" w14:textId="77777777" w:rsidR="00D7479E" w:rsidRPr="00A113C0" w:rsidRDefault="00D7479E" w:rsidP="00AD60D0">
            <w:pPr>
              <w:rPr>
                <w:rFonts w:cstheme="minorHAnsi"/>
              </w:rPr>
            </w:pPr>
            <w:r w:rsidRPr="00A113C0">
              <w:rPr>
                <w:rFonts w:cstheme="minorHAnsi"/>
              </w:rPr>
              <w:t>Données BOOST</w:t>
            </w:r>
          </w:p>
        </w:tc>
        <w:tc>
          <w:tcPr>
            <w:tcW w:w="1701" w:type="dxa"/>
          </w:tcPr>
          <w:p w14:paraId="19612989" w14:textId="77777777" w:rsidR="00D7479E" w:rsidRPr="00A113C0" w:rsidRDefault="00D7479E" w:rsidP="00AD60D0">
            <w:pPr>
              <w:rPr>
                <w:rFonts w:cstheme="minorHAnsi"/>
              </w:rPr>
            </w:pPr>
            <w:r w:rsidRPr="00A113C0">
              <w:rPr>
                <w:rFonts w:cstheme="minorHAnsi"/>
              </w:rPr>
              <w:t>-Absence d’API</w:t>
            </w:r>
          </w:p>
          <w:p w14:paraId="3F833021" w14:textId="77777777" w:rsidR="00D7479E" w:rsidRPr="00A113C0" w:rsidRDefault="00D7479E" w:rsidP="00AD60D0">
            <w:pPr>
              <w:rPr>
                <w:rFonts w:cstheme="minorHAnsi"/>
              </w:rPr>
            </w:pPr>
            <w:r w:rsidRPr="00A113C0">
              <w:rPr>
                <w:rFonts w:cstheme="minorHAnsi"/>
              </w:rPr>
              <w:t>-Absence de structure (toute la base)</w:t>
            </w:r>
          </w:p>
          <w:p w14:paraId="26DA4725" w14:textId="77777777" w:rsidR="00D7479E" w:rsidRPr="00A113C0" w:rsidRDefault="00D7479E" w:rsidP="00AD60D0">
            <w:pPr>
              <w:rPr>
                <w:rFonts w:cstheme="minorHAnsi"/>
              </w:rPr>
            </w:pPr>
            <w:r w:rsidRPr="00A113C0">
              <w:rPr>
                <w:rFonts w:cstheme="minorHAnsi"/>
              </w:rPr>
              <w:t>-Absence de licence</w:t>
            </w:r>
          </w:p>
        </w:tc>
        <w:tc>
          <w:tcPr>
            <w:tcW w:w="2126" w:type="dxa"/>
          </w:tcPr>
          <w:p w14:paraId="48C0A9B2" w14:textId="77777777" w:rsidR="00B95919" w:rsidRPr="00A113C0" w:rsidRDefault="00B95919" w:rsidP="00B95919">
            <w:pPr>
              <w:rPr>
                <w:rFonts w:cstheme="minorHAnsi"/>
              </w:rPr>
            </w:pPr>
            <w:r w:rsidRPr="00A113C0">
              <w:rPr>
                <w:rFonts w:cstheme="minorHAnsi"/>
              </w:rPr>
              <w:t>- Adoption d’une licence ouverte</w:t>
            </w:r>
          </w:p>
          <w:p w14:paraId="28AECE13" w14:textId="350E1E60" w:rsidR="00D7479E" w:rsidRPr="00A113C0" w:rsidRDefault="00B95919" w:rsidP="00AD60D0">
            <w:pPr>
              <w:rPr>
                <w:rFonts w:cstheme="minorHAnsi"/>
              </w:rPr>
            </w:pPr>
            <w:r w:rsidRPr="00A113C0">
              <w:rPr>
                <w:rFonts w:cstheme="minorHAnsi"/>
              </w:rPr>
              <w:t>- Transformation du fichier en jeux de données élémentaires</w:t>
            </w:r>
          </w:p>
          <w:p w14:paraId="79B00D95" w14:textId="18A3BD5A" w:rsidR="0028336A" w:rsidRPr="00A113C0" w:rsidRDefault="0028336A" w:rsidP="00AD60D0">
            <w:pPr>
              <w:rPr>
                <w:rFonts w:cstheme="minorHAnsi"/>
              </w:rPr>
            </w:pPr>
            <w:r w:rsidRPr="00A113C0">
              <w:rPr>
                <w:rFonts w:cstheme="minorHAnsi"/>
              </w:rPr>
              <w:t>-transformation des autres données informations du site (exécution du budget, etc.) en jeux de données</w:t>
            </w:r>
          </w:p>
          <w:p w14:paraId="4AB54C1A" w14:textId="558D7CEC" w:rsidR="00B95919" w:rsidRPr="00A113C0" w:rsidRDefault="00B95919" w:rsidP="00AD60D0">
            <w:pPr>
              <w:rPr>
                <w:rFonts w:cstheme="minorHAnsi"/>
              </w:rPr>
            </w:pPr>
            <w:r w:rsidRPr="00A113C0">
              <w:rPr>
                <w:rFonts w:cstheme="minorHAnsi"/>
              </w:rPr>
              <w:t>- Publication sur le portail central</w:t>
            </w:r>
          </w:p>
        </w:tc>
      </w:tr>
      <w:tr w:rsidR="00D7479E" w:rsidRPr="005217B7" w14:paraId="068C8130" w14:textId="28354CE6" w:rsidTr="00974263">
        <w:trPr>
          <w:trHeight w:val="2311"/>
        </w:trPr>
        <w:tc>
          <w:tcPr>
            <w:tcW w:w="1928" w:type="dxa"/>
          </w:tcPr>
          <w:p w14:paraId="480D7FD1" w14:textId="77777777" w:rsidR="00D7479E" w:rsidRPr="00A113C0" w:rsidRDefault="00D7479E" w:rsidP="00AD60D0">
            <w:pPr>
              <w:rPr>
                <w:rFonts w:cstheme="minorHAnsi"/>
              </w:rPr>
            </w:pPr>
            <w:r w:rsidRPr="00A113C0">
              <w:rPr>
                <w:rFonts w:cstheme="minorHAnsi"/>
              </w:rPr>
              <w:t xml:space="preserve">Journal officiel : </w:t>
            </w:r>
            <w:hyperlink r:id="rId54" w:history="1">
              <w:r w:rsidRPr="00A113C0">
                <w:rPr>
                  <w:rStyle w:val="Lienhypertexte"/>
                  <w:rFonts w:cstheme="minorHAnsi"/>
                </w:rPr>
                <w:t>http://www.cnudst.rnrt.tn/wwwisis/jort.06/form.htm</w:t>
              </w:r>
            </w:hyperlink>
            <w:r w:rsidRPr="00A113C0">
              <w:rPr>
                <w:rFonts w:cstheme="minorHAnsi"/>
              </w:rPr>
              <w:t xml:space="preserve"> et  </w:t>
            </w:r>
            <w:hyperlink r:id="rId55" w:history="1">
              <w:r w:rsidRPr="00A113C0">
                <w:rPr>
                  <w:rStyle w:val="Lienhypertexte"/>
                  <w:rFonts w:cstheme="minorHAnsi"/>
                </w:rPr>
                <w:t>http://www.iort.gov.tn</w:t>
              </w:r>
            </w:hyperlink>
          </w:p>
        </w:tc>
        <w:tc>
          <w:tcPr>
            <w:tcW w:w="1672" w:type="dxa"/>
          </w:tcPr>
          <w:p w14:paraId="48ED555C" w14:textId="22046A9C" w:rsidR="00D7479E" w:rsidRPr="00A113C0" w:rsidRDefault="000E2B23" w:rsidP="00AD60D0">
            <w:pPr>
              <w:rPr>
                <w:rFonts w:cstheme="minorHAnsi"/>
              </w:rPr>
            </w:pPr>
            <w:r>
              <w:rPr>
                <w:rFonts w:cstheme="minorHAnsi"/>
              </w:rPr>
              <w:t>L’imprimerie officielle</w:t>
            </w:r>
          </w:p>
        </w:tc>
        <w:tc>
          <w:tcPr>
            <w:tcW w:w="2212" w:type="dxa"/>
          </w:tcPr>
          <w:p w14:paraId="53F07B7E" w14:textId="6BE1739B" w:rsidR="00D7479E" w:rsidRPr="00A113C0" w:rsidRDefault="00D7479E" w:rsidP="00AD60D0">
            <w:pPr>
              <w:rPr>
                <w:rFonts w:cstheme="minorHAnsi"/>
              </w:rPr>
            </w:pPr>
            <w:r w:rsidRPr="00A113C0">
              <w:rPr>
                <w:rFonts w:cstheme="minorHAnsi"/>
              </w:rPr>
              <w:t xml:space="preserve">Données </w:t>
            </w:r>
            <w:r w:rsidR="002B413B" w:rsidRPr="00A113C0">
              <w:rPr>
                <w:rFonts w:cstheme="minorHAnsi"/>
              </w:rPr>
              <w:t>législatives</w:t>
            </w:r>
            <w:r w:rsidRPr="00A113C0">
              <w:rPr>
                <w:rFonts w:cstheme="minorHAnsi"/>
              </w:rPr>
              <w:t xml:space="preserve"> et journal officiel</w:t>
            </w:r>
          </w:p>
        </w:tc>
        <w:tc>
          <w:tcPr>
            <w:tcW w:w="1701" w:type="dxa"/>
          </w:tcPr>
          <w:p w14:paraId="4BBE7F24" w14:textId="72358397" w:rsidR="00D7479E" w:rsidRPr="00A113C0" w:rsidRDefault="00D7479E" w:rsidP="000C1986">
            <w:pPr>
              <w:spacing w:after="0"/>
              <w:rPr>
                <w:rFonts w:cstheme="minorHAnsi"/>
              </w:rPr>
            </w:pPr>
            <w:r w:rsidRPr="00A113C0">
              <w:rPr>
                <w:rFonts w:cstheme="minorHAnsi"/>
              </w:rPr>
              <w:t xml:space="preserve">-Interface de recherche mais pas de </w:t>
            </w:r>
            <w:r w:rsidR="002B413B" w:rsidRPr="00A113C0">
              <w:rPr>
                <w:rFonts w:cstheme="minorHAnsi"/>
              </w:rPr>
              <w:t>données brutes</w:t>
            </w:r>
            <w:r w:rsidRPr="00A113C0">
              <w:rPr>
                <w:rFonts w:cstheme="minorHAnsi"/>
              </w:rPr>
              <w:t xml:space="preserve"> disponible</w:t>
            </w:r>
          </w:p>
          <w:p w14:paraId="66207745" w14:textId="505E71B1" w:rsidR="00D7479E" w:rsidRPr="00A113C0" w:rsidRDefault="00D7479E" w:rsidP="00AD60D0">
            <w:pPr>
              <w:rPr>
                <w:rFonts w:cstheme="minorHAnsi"/>
              </w:rPr>
            </w:pPr>
            <w:r w:rsidRPr="00A113C0">
              <w:rPr>
                <w:rFonts w:cstheme="minorHAnsi"/>
              </w:rPr>
              <w:t xml:space="preserve">-format </w:t>
            </w:r>
            <w:r w:rsidR="002B413B" w:rsidRPr="00A113C0">
              <w:rPr>
                <w:rFonts w:cstheme="minorHAnsi"/>
              </w:rPr>
              <w:t>PDF</w:t>
            </w:r>
            <w:r w:rsidRPr="00A113C0">
              <w:rPr>
                <w:rFonts w:cstheme="minorHAnsi"/>
              </w:rPr>
              <w:t xml:space="preserve"> seulement</w:t>
            </w:r>
          </w:p>
        </w:tc>
        <w:tc>
          <w:tcPr>
            <w:tcW w:w="2126" w:type="dxa"/>
          </w:tcPr>
          <w:p w14:paraId="3FB3D194" w14:textId="77777777" w:rsidR="00D7479E" w:rsidRPr="00A113C0" w:rsidRDefault="00B95919" w:rsidP="00AD60D0">
            <w:pPr>
              <w:rPr>
                <w:rFonts w:cstheme="minorHAnsi"/>
              </w:rPr>
            </w:pPr>
            <w:r w:rsidRPr="00A113C0">
              <w:rPr>
                <w:rFonts w:cstheme="minorHAnsi"/>
              </w:rPr>
              <w:t>- Publication des données brutes (texte)</w:t>
            </w:r>
          </w:p>
          <w:p w14:paraId="1FD3EA06" w14:textId="4BD3BF0D" w:rsidR="00B95919" w:rsidRPr="00A113C0" w:rsidRDefault="00B95919" w:rsidP="00AD60D0">
            <w:pPr>
              <w:rPr>
                <w:rFonts w:cstheme="minorHAnsi"/>
              </w:rPr>
            </w:pPr>
            <w:r w:rsidRPr="00A113C0">
              <w:rPr>
                <w:rFonts w:cstheme="minorHAnsi"/>
              </w:rPr>
              <w:t>- Adoption d’une licence ouverte</w:t>
            </w:r>
          </w:p>
        </w:tc>
      </w:tr>
      <w:tr w:rsidR="00D7479E" w:rsidRPr="005217B7" w14:paraId="1A25759A" w14:textId="1FC5B32F" w:rsidTr="00974263">
        <w:trPr>
          <w:trHeight w:val="262"/>
        </w:trPr>
        <w:tc>
          <w:tcPr>
            <w:tcW w:w="1928" w:type="dxa"/>
          </w:tcPr>
          <w:p w14:paraId="5744D039" w14:textId="77777777" w:rsidR="00D7479E" w:rsidRPr="00A113C0" w:rsidRDefault="00E8606D" w:rsidP="00AD60D0">
            <w:pPr>
              <w:rPr>
                <w:rFonts w:cstheme="minorHAnsi"/>
              </w:rPr>
            </w:pPr>
            <w:hyperlink r:id="rId56" w:history="1">
              <w:r w:rsidR="00D7479E" w:rsidRPr="00A113C0">
                <w:rPr>
                  <w:rStyle w:val="Lienhypertexte"/>
                  <w:rFonts w:cstheme="minorHAnsi"/>
                </w:rPr>
                <w:t>http://www.legislation.tn/fr</w:t>
              </w:r>
            </w:hyperlink>
            <w:r w:rsidR="00D7479E" w:rsidRPr="00A113C0">
              <w:rPr>
                <w:rFonts w:cstheme="minorHAnsi"/>
              </w:rPr>
              <w:t xml:space="preserve">   </w:t>
            </w:r>
          </w:p>
          <w:p w14:paraId="05F506FB" w14:textId="77777777" w:rsidR="00D7479E" w:rsidRPr="00A113C0" w:rsidRDefault="00D7479E" w:rsidP="00AD60D0">
            <w:pPr>
              <w:rPr>
                <w:rFonts w:cstheme="minorHAnsi"/>
              </w:rPr>
            </w:pPr>
          </w:p>
        </w:tc>
        <w:tc>
          <w:tcPr>
            <w:tcW w:w="1672" w:type="dxa"/>
          </w:tcPr>
          <w:p w14:paraId="241990B8" w14:textId="609A1CBB" w:rsidR="00D7479E" w:rsidRPr="00CA4AFE" w:rsidRDefault="000E2B23" w:rsidP="00AD60D0">
            <w:pPr>
              <w:rPr>
                <w:rFonts w:cstheme="minorHAnsi"/>
              </w:rPr>
            </w:pPr>
            <w:r w:rsidRPr="00CA4AFE">
              <w:rPr>
                <w:rFonts w:cstheme="minorHAnsi"/>
              </w:rPr>
              <w:t>Conseille</w:t>
            </w:r>
            <w:r w:rsidR="00CA4AFE" w:rsidRPr="00CA4AFE">
              <w:rPr>
                <w:rFonts w:cstheme="minorHAnsi"/>
              </w:rPr>
              <w:t>r</w:t>
            </w:r>
            <w:r w:rsidRPr="00CA4AFE">
              <w:rPr>
                <w:rFonts w:cstheme="minorHAnsi"/>
              </w:rPr>
              <w:t xml:space="preserve"> Juridique du Gouvernement</w:t>
            </w:r>
            <w:r w:rsidR="000B38F2" w:rsidRPr="00CA4AFE">
              <w:rPr>
                <w:rFonts w:cstheme="minorHAnsi"/>
              </w:rPr>
              <w:t xml:space="preserve">                                  </w:t>
            </w:r>
          </w:p>
        </w:tc>
        <w:tc>
          <w:tcPr>
            <w:tcW w:w="2212" w:type="dxa"/>
          </w:tcPr>
          <w:p w14:paraId="03D1ABE7" w14:textId="77777777" w:rsidR="00D7479E" w:rsidRPr="00A113C0" w:rsidRDefault="00D7479E" w:rsidP="00AD60D0">
            <w:pPr>
              <w:rPr>
                <w:rFonts w:cstheme="minorHAnsi"/>
              </w:rPr>
            </w:pPr>
            <w:r w:rsidRPr="00A113C0">
              <w:rPr>
                <w:rFonts w:cstheme="minorHAnsi"/>
              </w:rPr>
              <w:t>Texte de loi</w:t>
            </w:r>
          </w:p>
        </w:tc>
        <w:tc>
          <w:tcPr>
            <w:tcW w:w="1701" w:type="dxa"/>
          </w:tcPr>
          <w:p w14:paraId="1DBC7438" w14:textId="77777777" w:rsidR="00D7479E" w:rsidRPr="00A113C0" w:rsidRDefault="00D7479E" w:rsidP="00AD60D0">
            <w:pPr>
              <w:rPr>
                <w:rFonts w:cstheme="minorHAnsi"/>
              </w:rPr>
            </w:pPr>
            <w:r w:rsidRPr="00A113C0">
              <w:rPr>
                <w:rFonts w:cstheme="minorHAnsi"/>
              </w:rPr>
              <w:t>-Absence de licence</w:t>
            </w:r>
          </w:p>
          <w:p w14:paraId="61C33DC4" w14:textId="77777777" w:rsidR="00D7479E" w:rsidRPr="00A113C0" w:rsidRDefault="00D7479E" w:rsidP="00AD60D0">
            <w:pPr>
              <w:rPr>
                <w:rFonts w:cstheme="minorHAnsi"/>
              </w:rPr>
            </w:pPr>
            <w:r w:rsidRPr="00A113C0">
              <w:rPr>
                <w:rFonts w:cstheme="minorHAnsi"/>
              </w:rPr>
              <w:t>-Absence de  format ouvert</w:t>
            </w:r>
          </w:p>
        </w:tc>
        <w:tc>
          <w:tcPr>
            <w:tcW w:w="2126" w:type="dxa"/>
          </w:tcPr>
          <w:p w14:paraId="5F0A30B3" w14:textId="77777777" w:rsidR="00B95919" w:rsidRPr="00A113C0" w:rsidRDefault="00B95919" w:rsidP="00B95919">
            <w:pPr>
              <w:rPr>
                <w:rFonts w:cstheme="minorHAnsi"/>
              </w:rPr>
            </w:pPr>
            <w:r w:rsidRPr="00A113C0">
              <w:rPr>
                <w:rFonts w:cstheme="minorHAnsi"/>
              </w:rPr>
              <w:t>- Publication des données brutes (texte)</w:t>
            </w:r>
          </w:p>
          <w:p w14:paraId="7E77E517" w14:textId="24FB1BF8" w:rsidR="00D7479E" w:rsidRPr="00A113C0" w:rsidRDefault="00B95919" w:rsidP="00B95919">
            <w:pPr>
              <w:rPr>
                <w:rFonts w:cstheme="minorHAnsi"/>
              </w:rPr>
            </w:pPr>
            <w:r w:rsidRPr="00A113C0">
              <w:rPr>
                <w:rFonts w:cstheme="minorHAnsi"/>
              </w:rPr>
              <w:t>- Adoption d’une licence ouverte</w:t>
            </w:r>
          </w:p>
        </w:tc>
      </w:tr>
      <w:tr w:rsidR="00D7479E" w:rsidRPr="005217B7" w14:paraId="57BDEA3D" w14:textId="589CAD72" w:rsidTr="00974263">
        <w:trPr>
          <w:trHeight w:val="262"/>
        </w:trPr>
        <w:tc>
          <w:tcPr>
            <w:tcW w:w="1928" w:type="dxa"/>
          </w:tcPr>
          <w:p w14:paraId="3060D8E5" w14:textId="77777777" w:rsidR="00D7479E" w:rsidRPr="00A113C0" w:rsidRDefault="00D7479E" w:rsidP="00AD60D0">
            <w:pPr>
              <w:spacing w:line="256" w:lineRule="auto"/>
              <w:rPr>
                <w:rFonts w:cstheme="minorHAnsi"/>
              </w:rPr>
            </w:pPr>
            <w:r w:rsidRPr="00A113C0">
              <w:rPr>
                <w:rFonts w:cstheme="minorHAnsi"/>
              </w:rPr>
              <w:t xml:space="preserve"> </w:t>
            </w:r>
            <w:hyperlink r:id="rId57" w:history="1">
              <w:r w:rsidRPr="00A113C0">
                <w:rPr>
                  <w:rStyle w:val="Lienhypertexte"/>
                  <w:rFonts w:cstheme="minorHAnsi"/>
                </w:rPr>
                <w:t>https://www.tuneps.tn/index.do</w:t>
              </w:r>
            </w:hyperlink>
            <w:r w:rsidRPr="00A113C0">
              <w:rPr>
                <w:rFonts w:cstheme="minorHAnsi"/>
              </w:rPr>
              <w:t xml:space="preserve"> </w:t>
            </w:r>
          </w:p>
          <w:p w14:paraId="2A1D4FEA" w14:textId="6086AC06" w:rsidR="00990EC4" w:rsidRPr="00A113C0" w:rsidRDefault="00E8606D" w:rsidP="00AD60D0">
            <w:pPr>
              <w:spacing w:line="256" w:lineRule="auto"/>
              <w:rPr>
                <w:rFonts w:cstheme="minorHAnsi"/>
              </w:rPr>
            </w:pPr>
            <w:hyperlink r:id="rId58" w:history="1">
              <w:r w:rsidR="00990EC4" w:rsidRPr="00A113C0">
                <w:rPr>
                  <w:rStyle w:val="Lienhypertexte"/>
                  <w:rFonts w:cstheme="minorHAnsi"/>
                </w:rPr>
                <w:t>http://www.marchespublics.gov.tn</w:t>
              </w:r>
            </w:hyperlink>
            <w:r w:rsidR="00990EC4" w:rsidRPr="00A113C0">
              <w:rPr>
                <w:rFonts w:cstheme="minorHAnsi"/>
              </w:rPr>
              <w:t xml:space="preserve"> </w:t>
            </w:r>
          </w:p>
        </w:tc>
        <w:tc>
          <w:tcPr>
            <w:tcW w:w="1672" w:type="dxa"/>
          </w:tcPr>
          <w:p w14:paraId="418F9BF9" w14:textId="42EE1A0D" w:rsidR="00D7479E" w:rsidRPr="00A113C0" w:rsidRDefault="00990EC4" w:rsidP="00AD60D0">
            <w:pPr>
              <w:rPr>
                <w:rFonts w:cstheme="minorHAnsi"/>
              </w:rPr>
            </w:pPr>
            <w:r w:rsidRPr="00A113C0">
              <w:rPr>
                <w:rFonts w:cstheme="minorHAnsi"/>
              </w:rPr>
              <w:t>HAICOP </w:t>
            </w:r>
          </w:p>
        </w:tc>
        <w:tc>
          <w:tcPr>
            <w:tcW w:w="2212" w:type="dxa"/>
          </w:tcPr>
          <w:p w14:paraId="3D5F82BD" w14:textId="446604A6" w:rsidR="00D7479E" w:rsidRPr="00A113C0" w:rsidRDefault="00D7479E" w:rsidP="00AD60D0">
            <w:pPr>
              <w:rPr>
                <w:rFonts w:cstheme="minorHAnsi"/>
              </w:rPr>
            </w:pPr>
            <w:r w:rsidRPr="00A113C0">
              <w:rPr>
                <w:rFonts w:cstheme="minorHAnsi"/>
              </w:rPr>
              <w:t xml:space="preserve">Données sur les marchés publiques (avis, </w:t>
            </w:r>
            <w:r w:rsidR="002B413B" w:rsidRPr="00A113C0">
              <w:rPr>
                <w:rFonts w:cstheme="minorHAnsi"/>
              </w:rPr>
              <w:t>sélection</w:t>
            </w:r>
            <w:r w:rsidRPr="00A113C0">
              <w:rPr>
                <w:rFonts w:cstheme="minorHAnsi"/>
              </w:rPr>
              <w:t>, etc.)</w:t>
            </w:r>
          </w:p>
        </w:tc>
        <w:tc>
          <w:tcPr>
            <w:tcW w:w="1701" w:type="dxa"/>
          </w:tcPr>
          <w:p w14:paraId="142759FD" w14:textId="6A654C4D" w:rsidR="00D7479E" w:rsidRPr="00A113C0" w:rsidRDefault="00D7479E" w:rsidP="00AD60D0">
            <w:pPr>
              <w:rPr>
                <w:rFonts w:cstheme="minorHAnsi"/>
              </w:rPr>
            </w:pPr>
            <w:r w:rsidRPr="00A113C0">
              <w:rPr>
                <w:rFonts w:cstheme="minorHAnsi"/>
              </w:rPr>
              <w:t>-Absence de données brutes téléchargeable</w:t>
            </w:r>
            <w:r w:rsidR="00F72866">
              <w:rPr>
                <w:rFonts w:cstheme="minorHAnsi"/>
              </w:rPr>
              <w:t>s</w:t>
            </w:r>
          </w:p>
          <w:p w14:paraId="44B403C5" w14:textId="77777777" w:rsidR="00D7479E" w:rsidRPr="00A113C0" w:rsidRDefault="00D7479E" w:rsidP="00AD60D0">
            <w:pPr>
              <w:rPr>
                <w:rFonts w:cstheme="minorHAnsi"/>
              </w:rPr>
            </w:pPr>
            <w:r w:rsidRPr="00A113C0">
              <w:rPr>
                <w:rFonts w:cstheme="minorHAnsi"/>
              </w:rPr>
              <w:t xml:space="preserve">-Absence d’API </w:t>
            </w:r>
          </w:p>
          <w:p w14:paraId="490173A2" w14:textId="77777777" w:rsidR="00D7479E" w:rsidRPr="00A113C0" w:rsidRDefault="00D7479E" w:rsidP="00AD60D0">
            <w:pPr>
              <w:rPr>
                <w:rFonts w:cstheme="minorHAnsi"/>
              </w:rPr>
            </w:pPr>
          </w:p>
        </w:tc>
        <w:tc>
          <w:tcPr>
            <w:tcW w:w="2126" w:type="dxa"/>
          </w:tcPr>
          <w:p w14:paraId="0EBCAF5D" w14:textId="77777777" w:rsidR="00B95919" w:rsidRPr="00A113C0" w:rsidRDefault="00B95919" w:rsidP="00B95919">
            <w:pPr>
              <w:rPr>
                <w:rFonts w:cstheme="minorHAnsi"/>
              </w:rPr>
            </w:pPr>
            <w:r w:rsidRPr="00A113C0">
              <w:rPr>
                <w:rFonts w:cstheme="minorHAnsi"/>
              </w:rPr>
              <w:t>- Publication des données brutes (texte)</w:t>
            </w:r>
          </w:p>
          <w:p w14:paraId="2727729F" w14:textId="77777777" w:rsidR="00D7479E" w:rsidRPr="00A113C0" w:rsidRDefault="00B95919" w:rsidP="00B95919">
            <w:pPr>
              <w:rPr>
                <w:rFonts w:cstheme="minorHAnsi"/>
              </w:rPr>
            </w:pPr>
            <w:r w:rsidRPr="00A113C0">
              <w:rPr>
                <w:rFonts w:cstheme="minorHAnsi"/>
              </w:rPr>
              <w:t>- Adoption d’une licence ouverte</w:t>
            </w:r>
          </w:p>
          <w:p w14:paraId="0DB6E5A1" w14:textId="7A1EA9B3" w:rsidR="00B95919" w:rsidRPr="00A113C0" w:rsidRDefault="00B95919" w:rsidP="00B95919">
            <w:pPr>
              <w:rPr>
                <w:rFonts w:cstheme="minorHAnsi"/>
              </w:rPr>
            </w:pPr>
            <w:r w:rsidRPr="00A113C0">
              <w:rPr>
                <w:rFonts w:cstheme="minorHAnsi"/>
              </w:rPr>
              <w:t>- Développement d’une API pour l’extraction de données et pour la soumission</w:t>
            </w:r>
          </w:p>
        </w:tc>
      </w:tr>
      <w:tr w:rsidR="00D7479E" w:rsidRPr="005217B7" w14:paraId="4D54FDC8" w14:textId="3C940497" w:rsidTr="00974263">
        <w:trPr>
          <w:trHeight w:val="262"/>
        </w:trPr>
        <w:tc>
          <w:tcPr>
            <w:tcW w:w="1928" w:type="dxa"/>
          </w:tcPr>
          <w:p w14:paraId="2BCFFE94" w14:textId="77777777" w:rsidR="00D7479E" w:rsidRPr="00A113C0" w:rsidRDefault="00E8606D" w:rsidP="00AD60D0">
            <w:pPr>
              <w:spacing w:line="256" w:lineRule="auto"/>
              <w:rPr>
                <w:rFonts w:cstheme="minorHAnsi"/>
              </w:rPr>
            </w:pPr>
            <w:hyperlink r:id="rId59" w:history="1">
              <w:r w:rsidR="00D7479E" w:rsidRPr="00A113C0">
                <w:rPr>
                  <w:rStyle w:val="Lienhypertexte"/>
                  <w:rFonts w:cstheme="minorHAnsi"/>
                </w:rPr>
                <w:t>http://www.otc.nat.tn/index.php</w:t>
              </w:r>
            </w:hyperlink>
            <w:r w:rsidR="00D7479E" w:rsidRPr="00A113C0">
              <w:rPr>
                <w:rFonts w:cstheme="minorHAnsi"/>
              </w:rPr>
              <w:t xml:space="preserve"> ou </w:t>
            </w:r>
            <w:hyperlink r:id="rId60" w:history="1">
              <w:r w:rsidR="00D7479E" w:rsidRPr="00A113C0">
                <w:rPr>
                  <w:rStyle w:val="Lienhypertexte"/>
                  <w:rFonts w:cstheme="minorHAnsi"/>
                </w:rPr>
                <w:t>http://www.cpf.gov.tn/cpfsite/Francais/Accueil.asp</w:t>
              </w:r>
            </w:hyperlink>
            <w:r w:rsidR="00D7479E" w:rsidRPr="00A113C0">
              <w:rPr>
                <w:rFonts w:cstheme="minorHAnsi"/>
              </w:rPr>
              <w:t xml:space="preserve"> </w:t>
            </w:r>
          </w:p>
        </w:tc>
        <w:tc>
          <w:tcPr>
            <w:tcW w:w="1672" w:type="dxa"/>
          </w:tcPr>
          <w:p w14:paraId="65663421" w14:textId="77777777" w:rsidR="00D7479E" w:rsidRPr="00A113C0" w:rsidRDefault="00D7479E" w:rsidP="00AD60D0">
            <w:pPr>
              <w:rPr>
                <w:rFonts w:cstheme="minorHAnsi"/>
              </w:rPr>
            </w:pPr>
            <w:r w:rsidRPr="00A113C0">
              <w:rPr>
                <w:rFonts w:cstheme="minorHAnsi"/>
              </w:rPr>
              <w:t>Office national de la topographie et du cadastre / Secrétariat d’état des Domaines de l’état et des affaires foncières</w:t>
            </w:r>
          </w:p>
        </w:tc>
        <w:tc>
          <w:tcPr>
            <w:tcW w:w="2212" w:type="dxa"/>
          </w:tcPr>
          <w:p w14:paraId="1CEAB0F4" w14:textId="77777777" w:rsidR="00D7479E" w:rsidRPr="00A113C0" w:rsidRDefault="00D7479E" w:rsidP="00AD60D0">
            <w:pPr>
              <w:rPr>
                <w:rFonts w:cstheme="minorHAnsi"/>
              </w:rPr>
            </w:pPr>
            <w:r w:rsidRPr="00A113C0">
              <w:rPr>
                <w:rFonts w:cstheme="minorHAnsi"/>
              </w:rPr>
              <w:t>Données de propriétés foncières et de cadastre</w:t>
            </w:r>
          </w:p>
        </w:tc>
        <w:tc>
          <w:tcPr>
            <w:tcW w:w="1701" w:type="dxa"/>
          </w:tcPr>
          <w:p w14:paraId="729347BF" w14:textId="536FCF9F" w:rsidR="00D7479E" w:rsidRPr="00A113C0" w:rsidRDefault="00D7479E" w:rsidP="00AD60D0">
            <w:pPr>
              <w:spacing w:line="256" w:lineRule="auto"/>
              <w:rPr>
                <w:rFonts w:cstheme="minorHAnsi"/>
              </w:rPr>
            </w:pPr>
            <w:r w:rsidRPr="00A113C0">
              <w:rPr>
                <w:rFonts w:cstheme="minorHAnsi"/>
              </w:rPr>
              <w:t>-Absence de données brutes téléchargeable</w:t>
            </w:r>
            <w:r w:rsidR="00F72866">
              <w:rPr>
                <w:rFonts w:cstheme="minorHAnsi"/>
              </w:rPr>
              <w:t>s</w:t>
            </w:r>
          </w:p>
          <w:p w14:paraId="173452B1" w14:textId="77777777" w:rsidR="00D7479E" w:rsidRPr="00A113C0" w:rsidRDefault="00D7479E" w:rsidP="00AD60D0">
            <w:pPr>
              <w:rPr>
                <w:rFonts w:cstheme="minorHAnsi"/>
              </w:rPr>
            </w:pPr>
            <w:r w:rsidRPr="00A113C0">
              <w:rPr>
                <w:rFonts w:cstheme="minorHAnsi"/>
              </w:rPr>
              <w:t>-Absence de licence</w:t>
            </w:r>
          </w:p>
        </w:tc>
        <w:tc>
          <w:tcPr>
            <w:tcW w:w="2126" w:type="dxa"/>
          </w:tcPr>
          <w:p w14:paraId="030FB4E2" w14:textId="4203985B" w:rsidR="00B95919" w:rsidRPr="00A113C0" w:rsidRDefault="00B95919" w:rsidP="00B95919">
            <w:pPr>
              <w:rPr>
                <w:rFonts w:cstheme="minorHAnsi"/>
              </w:rPr>
            </w:pPr>
            <w:r w:rsidRPr="00A113C0">
              <w:rPr>
                <w:rFonts w:cstheme="minorHAnsi"/>
              </w:rPr>
              <w:t>- Publication des données brutes et notamment géospatiale</w:t>
            </w:r>
            <w:r w:rsidR="00F72866">
              <w:rPr>
                <w:rFonts w:cstheme="minorHAnsi"/>
              </w:rPr>
              <w:t>s</w:t>
            </w:r>
          </w:p>
          <w:p w14:paraId="0C9AE792" w14:textId="674EECA4" w:rsidR="00B95919" w:rsidRPr="00A113C0" w:rsidRDefault="00B95919" w:rsidP="00B95919">
            <w:pPr>
              <w:rPr>
                <w:rFonts w:cstheme="minorHAnsi"/>
              </w:rPr>
            </w:pPr>
            <w:r w:rsidRPr="00A113C0">
              <w:rPr>
                <w:rFonts w:cstheme="minorHAnsi"/>
              </w:rPr>
              <w:t>- Adoption d’une licence ouverte</w:t>
            </w:r>
          </w:p>
          <w:p w14:paraId="59D94849" w14:textId="6B9CD8B8" w:rsidR="00B95919" w:rsidRPr="00A113C0" w:rsidRDefault="00B95919" w:rsidP="00B95919">
            <w:pPr>
              <w:rPr>
                <w:rFonts w:cstheme="minorHAnsi"/>
              </w:rPr>
            </w:pPr>
          </w:p>
          <w:p w14:paraId="1580EA0D" w14:textId="77777777" w:rsidR="00D7479E" w:rsidRPr="00A113C0" w:rsidRDefault="00D7479E" w:rsidP="00AD60D0">
            <w:pPr>
              <w:spacing w:line="256" w:lineRule="auto"/>
              <w:rPr>
                <w:rFonts w:cstheme="minorHAnsi"/>
              </w:rPr>
            </w:pPr>
          </w:p>
        </w:tc>
      </w:tr>
      <w:tr w:rsidR="00D7479E" w:rsidRPr="005217B7" w14:paraId="5C23AFB8" w14:textId="0D9FBC5C" w:rsidTr="00974263">
        <w:trPr>
          <w:trHeight w:val="262"/>
        </w:trPr>
        <w:tc>
          <w:tcPr>
            <w:tcW w:w="1928" w:type="dxa"/>
          </w:tcPr>
          <w:p w14:paraId="5098C54F" w14:textId="77777777" w:rsidR="00D7479E" w:rsidRPr="00A113C0" w:rsidRDefault="00E8606D" w:rsidP="00AD60D0">
            <w:pPr>
              <w:spacing w:line="256" w:lineRule="auto"/>
              <w:rPr>
                <w:rFonts w:cstheme="minorHAnsi"/>
              </w:rPr>
            </w:pPr>
            <w:hyperlink r:id="rId61" w:history="1">
              <w:r w:rsidR="00D7479E" w:rsidRPr="00A113C0">
                <w:rPr>
                  <w:rStyle w:val="Lienhypertexte"/>
                  <w:rFonts w:cstheme="minorHAnsi"/>
                </w:rPr>
                <w:t>http://www.cnct.defense.tn/index.php/fr/produits-et-services/produits/item/185-bases-de-donnees</w:t>
              </w:r>
            </w:hyperlink>
            <w:r w:rsidR="00D7479E" w:rsidRPr="00A113C0">
              <w:rPr>
                <w:rFonts w:cstheme="minorHAnsi"/>
              </w:rPr>
              <w:t xml:space="preserve"> </w:t>
            </w:r>
          </w:p>
        </w:tc>
        <w:tc>
          <w:tcPr>
            <w:tcW w:w="1672" w:type="dxa"/>
          </w:tcPr>
          <w:p w14:paraId="0FD657DF" w14:textId="77777777" w:rsidR="00D7479E" w:rsidRPr="00A113C0" w:rsidRDefault="00D7479E" w:rsidP="00AD60D0">
            <w:pPr>
              <w:rPr>
                <w:rFonts w:cstheme="minorHAnsi"/>
              </w:rPr>
            </w:pPr>
            <w:r w:rsidRPr="00A113C0">
              <w:rPr>
                <w:rFonts w:cstheme="minorHAnsi"/>
              </w:rPr>
              <w:t>Centre national de la cartographie et de la télédétection </w:t>
            </w:r>
          </w:p>
        </w:tc>
        <w:tc>
          <w:tcPr>
            <w:tcW w:w="2212" w:type="dxa"/>
          </w:tcPr>
          <w:p w14:paraId="2CF5B644" w14:textId="77777777" w:rsidR="00D7479E" w:rsidRPr="00A113C0" w:rsidRDefault="00D7479E" w:rsidP="00AD60D0">
            <w:pPr>
              <w:rPr>
                <w:rFonts w:cstheme="minorHAnsi"/>
              </w:rPr>
            </w:pPr>
            <w:r w:rsidRPr="00A113C0">
              <w:rPr>
                <w:rFonts w:cstheme="minorHAnsi"/>
              </w:rPr>
              <w:t>SIG</w:t>
            </w:r>
          </w:p>
        </w:tc>
        <w:tc>
          <w:tcPr>
            <w:tcW w:w="1701" w:type="dxa"/>
          </w:tcPr>
          <w:p w14:paraId="695E27A4" w14:textId="77777777" w:rsidR="00D7479E" w:rsidRPr="00A113C0" w:rsidRDefault="00D7479E" w:rsidP="00AD60D0">
            <w:pPr>
              <w:rPr>
                <w:rFonts w:cstheme="minorHAnsi"/>
              </w:rPr>
            </w:pPr>
            <w:r w:rsidRPr="00A113C0">
              <w:rPr>
                <w:rFonts w:cstheme="minorHAnsi"/>
              </w:rPr>
              <w:t>-Absence de données en ligne</w:t>
            </w:r>
          </w:p>
        </w:tc>
        <w:tc>
          <w:tcPr>
            <w:tcW w:w="2126" w:type="dxa"/>
          </w:tcPr>
          <w:p w14:paraId="560429F9" w14:textId="2946C26A" w:rsidR="00B95919" w:rsidRPr="00A113C0" w:rsidRDefault="00B95919" w:rsidP="00B95919">
            <w:pPr>
              <w:rPr>
                <w:rFonts w:cstheme="minorHAnsi"/>
              </w:rPr>
            </w:pPr>
            <w:r w:rsidRPr="00A113C0">
              <w:rPr>
                <w:rFonts w:cstheme="minorHAnsi"/>
              </w:rPr>
              <w:t>- Publication des données brutes et notamment géospatiale</w:t>
            </w:r>
            <w:r w:rsidR="00F72866">
              <w:rPr>
                <w:rFonts w:cstheme="minorHAnsi"/>
              </w:rPr>
              <w:t>s</w:t>
            </w:r>
          </w:p>
          <w:p w14:paraId="78CB0C98" w14:textId="77777777" w:rsidR="00B95919" w:rsidRPr="00A113C0" w:rsidRDefault="00B95919" w:rsidP="00B95919">
            <w:pPr>
              <w:rPr>
                <w:rFonts w:cstheme="minorHAnsi"/>
              </w:rPr>
            </w:pPr>
            <w:r w:rsidRPr="00A113C0">
              <w:rPr>
                <w:rFonts w:cstheme="minorHAnsi"/>
              </w:rPr>
              <w:t>- Adoption d’une licence ouverte</w:t>
            </w:r>
          </w:p>
          <w:p w14:paraId="4409BB69" w14:textId="77777777" w:rsidR="00D7479E" w:rsidRPr="00A113C0" w:rsidRDefault="00D7479E" w:rsidP="00AD60D0">
            <w:pPr>
              <w:rPr>
                <w:rFonts w:cstheme="minorHAnsi"/>
              </w:rPr>
            </w:pPr>
          </w:p>
        </w:tc>
      </w:tr>
      <w:tr w:rsidR="00D7479E" w:rsidRPr="005217B7" w14:paraId="10F04ABC" w14:textId="44678881" w:rsidTr="00974263">
        <w:trPr>
          <w:trHeight w:val="262"/>
        </w:trPr>
        <w:tc>
          <w:tcPr>
            <w:tcW w:w="1928" w:type="dxa"/>
          </w:tcPr>
          <w:p w14:paraId="60190A52" w14:textId="77777777" w:rsidR="00D7479E" w:rsidRPr="00A113C0" w:rsidRDefault="00E8606D" w:rsidP="00AD60D0">
            <w:pPr>
              <w:spacing w:line="256" w:lineRule="auto"/>
              <w:rPr>
                <w:rFonts w:cstheme="minorHAnsi"/>
              </w:rPr>
            </w:pPr>
            <w:hyperlink r:id="rId62" w:history="1">
              <w:r w:rsidR="00D7479E" w:rsidRPr="00A113C0">
                <w:rPr>
                  <w:rStyle w:val="Lienhypertexte"/>
                  <w:rFonts w:cstheme="minorHAnsi"/>
                </w:rPr>
                <w:t>http://www.openculture.gov.tn/fr/page_donnees</w:t>
              </w:r>
            </w:hyperlink>
          </w:p>
        </w:tc>
        <w:tc>
          <w:tcPr>
            <w:tcW w:w="1672" w:type="dxa"/>
          </w:tcPr>
          <w:p w14:paraId="3BADDBE2" w14:textId="4CA26401" w:rsidR="00D7479E" w:rsidRPr="00A113C0" w:rsidRDefault="00990EC4" w:rsidP="00AD60D0">
            <w:pPr>
              <w:rPr>
                <w:rFonts w:cstheme="minorHAnsi"/>
              </w:rPr>
            </w:pPr>
            <w:r w:rsidRPr="00A113C0">
              <w:rPr>
                <w:rFonts w:cstheme="minorHAnsi"/>
              </w:rPr>
              <w:t>MIC</w:t>
            </w:r>
          </w:p>
        </w:tc>
        <w:tc>
          <w:tcPr>
            <w:tcW w:w="2212" w:type="dxa"/>
          </w:tcPr>
          <w:p w14:paraId="17D93CC1" w14:textId="77777777" w:rsidR="00D7479E" w:rsidRPr="00A113C0" w:rsidRDefault="00D7479E" w:rsidP="00AD60D0">
            <w:pPr>
              <w:rPr>
                <w:rFonts w:cstheme="minorHAnsi"/>
              </w:rPr>
            </w:pPr>
            <w:r w:rsidRPr="00A113C0">
              <w:rPr>
                <w:rFonts w:cstheme="minorHAnsi"/>
              </w:rPr>
              <w:t>54 jeux de données concernant la culture</w:t>
            </w:r>
          </w:p>
        </w:tc>
        <w:tc>
          <w:tcPr>
            <w:tcW w:w="1701" w:type="dxa"/>
          </w:tcPr>
          <w:p w14:paraId="03FC6ED1" w14:textId="77777777" w:rsidR="00D7479E" w:rsidRPr="00A113C0" w:rsidRDefault="00D7479E" w:rsidP="00AD60D0">
            <w:pPr>
              <w:rPr>
                <w:rFonts w:cstheme="minorHAnsi"/>
              </w:rPr>
            </w:pPr>
            <w:r w:rsidRPr="00A113C0">
              <w:rPr>
                <w:rFonts w:cstheme="minorHAnsi"/>
              </w:rPr>
              <w:t>-License ouverte pour une réutilisation non-commerciale uniquement</w:t>
            </w:r>
          </w:p>
          <w:p w14:paraId="0633EBF8" w14:textId="77777777" w:rsidR="00D7479E" w:rsidRPr="00A113C0" w:rsidRDefault="00D7479E" w:rsidP="00AD60D0">
            <w:pPr>
              <w:rPr>
                <w:rFonts w:cstheme="minorHAnsi"/>
              </w:rPr>
            </w:pPr>
            <w:r w:rsidRPr="00A113C0">
              <w:rPr>
                <w:rFonts w:cstheme="minorHAnsi"/>
              </w:rPr>
              <w:t>-Absence d’API</w:t>
            </w:r>
          </w:p>
        </w:tc>
        <w:tc>
          <w:tcPr>
            <w:tcW w:w="2126" w:type="dxa"/>
          </w:tcPr>
          <w:p w14:paraId="5734C656" w14:textId="0F20A48A" w:rsidR="00D7479E" w:rsidRPr="00A113C0" w:rsidRDefault="00B95919" w:rsidP="00AD60D0">
            <w:pPr>
              <w:rPr>
                <w:rFonts w:cstheme="minorHAnsi"/>
              </w:rPr>
            </w:pPr>
            <w:r w:rsidRPr="00A113C0">
              <w:rPr>
                <w:rFonts w:cstheme="minorHAnsi"/>
              </w:rPr>
              <w:t>- Harmonisation des licences</w:t>
            </w:r>
          </w:p>
          <w:p w14:paraId="356AF000" w14:textId="77777777" w:rsidR="00B95919" w:rsidRPr="00A113C0" w:rsidRDefault="00B95919" w:rsidP="00AD60D0">
            <w:pPr>
              <w:rPr>
                <w:rFonts w:cstheme="minorHAnsi"/>
              </w:rPr>
            </w:pPr>
            <w:r w:rsidRPr="00A113C0">
              <w:rPr>
                <w:rFonts w:cstheme="minorHAnsi"/>
              </w:rPr>
              <w:t>- Publication complète sur le portail central</w:t>
            </w:r>
          </w:p>
          <w:p w14:paraId="52ECA324" w14:textId="4B322AA0" w:rsidR="0028336A" w:rsidRPr="00A113C0" w:rsidRDefault="0028336A" w:rsidP="00AD60D0">
            <w:pPr>
              <w:rPr>
                <w:rFonts w:cstheme="minorHAnsi"/>
              </w:rPr>
            </w:pPr>
            <w:r w:rsidRPr="00A113C0">
              <w:rPr>
                <w:rFonts w:cstheme="minorHAnsi"/>
              </w:rPr>
              <w:t xml:space="preserve">- extensions </w:t>
            </w:r>
            <w:r w:rsidR="002B413B" w:rsidRPr="00A113C0">
              <w:rPr>
                <w:rFonts w:cstheme="minorHAnsi"/>
              </w:rPr>
              <w:t>du nombre</w:t>
            </w:r>
            <w:r w:rsidRPr="00A113C0">
              <w:rPr>
                <w:rFonts w:cstheme="minorHAnsi"/>
              </w:rPr>
              <w:t xml:space="preserve"> de jeux de données (engagement 5 du plan OGP)</w:t>
            </w:r>
          </w:p>
        </w:tc>
      </w:tr>
      <w:tr w:rsidR="00D7479E" w:rsidRPr="006102A5" w14:paraId="19011138" w14:textId="5B3B7398" w:rsidTr="00974263">
        <w:trPr>
          <w:trHeight w:val="262"/>
        </w:trPr>
        <w:tc>
          <w:tcPr>
            <w:tcW w:w="1928" w:type="dxa"/>
          </w:tcPr>
          <w:p w14:paraId="6D6FC644" w14:textId="77777777" w:rsidR="00D7479E" w:rsidRPr="00A113C0" w:rsidRDefault="00E8606D" w:rsidP="00AD60D0">
            <w:pPr>
              <w:spacing w:line="256" w:lineRule="auto"/>
              <w:rPr>
                <w:rFonts w:cstheme="minorHAnsi"/>
              </w:rPr>
            </w:pPr>
            <w:hyperlink r:id="rId63" w:history="1">
              <w:r w:rsidR="00D7479E" w:rsidRPr="00A113C0">
                <w:rPr>
                  <w:rStyle w:val="Lienhypertexte"/>
                  <w:rFonts w:cstheme="minorHAnsi"/>
                </w:rPr>
                <w:t>http://opendata.interieur.gov.tn/fr/datas/index/type:1</w:t>
              </w:r>
            </w:hyperlink>
            <w:r w:rsidR="00D7479E" w:rsidRPr="00A113C0">
              <w:rPr>
                <w:rFonts w:cstheme="minorHAnsi"/>
              </w:rPr>
              <w:t xml:space="preserve"> </w:t>
            </w:r>
          </w:p>
        </w:tc>
        <w:tc>
          <w:tcPr>
            <w:tcW w:w="1672" w:type="dxa"/>
          </w:tcPr>
          <w:p w14:paraId="741612D7" w14:textId="45A7945B" w:rsidR="00D7479E" w:rsidRPr="00A113C0" w:rsidRDefault="00990EC4" w:rsidP="00AD60D0">
            <w:pPr>
              <w:rPr>
                <w:rFonts w:cstheme="minorHAnsi"/>
              </w:rPr>
            </w:pPr>
            <w:r w:rsidRPr="00A113C0">
              <w:rPr>
                <w:rFonts w:cstheme="minorHAnsi"/>
              </w:rPr>
              <w:t>MINT</w:t>
            </w:r>
          </w:p>
        </w:tc>
        <w:tc>
          <w:tcPr>
            <w:tcW w:w="2212" w:type="dxa"/>
          </w:tcPr>
          <w:p w14:paraId="0DDDB0EE" w14:textId="0354B9CE" w:rsidR="00D7479E" w:rsidRPr="00A113C0" w:rsidRDefault="00D7479E" w:rsidP="00AD60D0">
            <w:pPr>
              <w:rPr>
                <w:rFonts w:cstheme="minorHAnsi"/>
              </w:rPr>
            </w:pPr>
            <w:r w:rsidRPr="00A113C0">
              <w:rPr>
                <w:rFonts w:cstheme="minorHAnsi"/>
              </w:rPr>
              <w:t xml:space="preserve">192 jeux de données sur </w:t>
            </w:r>
            <w:r w:rsidR="002B413B" w:rsidRPr="00A113C0">
              <w:rPr>
                <w:rFonts w:cstheme="minorHAnsi"/>
              </w:rPr>
              <w:t>différents secteurs</w:t>
            </w:r>
            <w:r w:rsidRPr="00A113C0">
              <w:rPr>
                <w:rFonts w:cstheme="minorHAnsi"/>
              </w:rPr>
              <w:t xml:space="preserve"> du ministère de l’intérieur </w:t>
            </w:r>
          </w:p>
        </w:tc>
        <w:tc>
          <w:tcPr>
            <w:tcW w:w="1701" w:type="dxa"/>
          </w:tcPr>
          <w:p w14:paraId="0CD94074" w14:textId="77777777" w:rsidR="00D7479E" w:rsidRPr="00A113C0" w:rsidRDefault="00D7479E" w:rsidP="000C1986">
            <w:pPr>
              <w:spacing w:after="0" w:line="256" w:lineRule="auto"/>
              <w:rPr>
                <w:rFonts w:cstheme="minorHAnsi"/>
              </w:rPr>
            </w:pPr>
            <w:r w:rsidRPr="00A113C0">
              <w:rPr>
                <w:rFonts w:cstheme="minorHAnsi"/>
              </w:rPr>
              <w:t>- Multi format (csv json xml)</w:t>
            </w:r>
          </w:p>
          <w:p w14:paraId="058A5924" w14:textId="77777777" w:rsidR="00D7479E" w:rsidRPr="00073406" w:rsidRDefault="00D7479E" w:rsidP="000C1986">
            <w:pPr>
              <w:spacing w:after="0" w:line="256" w:lineRule="auto"/>
              <w:rPr>
                <w:rFonts w:cstheme="minorHAnsi"/>
              </w:rPr>
            </w:pPr>
            <w:r w:rsidRPr="00073406">
              <w:rPr>
                <w:rFonts w:cstheme="minorHAnsi"/>
              </w:rPr>
              <w:t>-Absence d’API</w:t>
            </w:r>
          </w:p>
          <w:p w14:paraId="278A79FE" w14:textId="77777777" w:rsidR="00D7479E" w:rsidRPr="00D65E53" w:rsidRDefault="00D7479E" w:rsidP="00AD60D0">
            <w:pPr>
              <w:spacing w:line="256" w:lineRule="auto"/>
              <w:rPr>
                <w:rFonts w:cstheme="minorHAnsi"/>
                <w:lang w:val="en-US"/>
              </w:rPr>
            </w:pPr>
            <w:r w:rsidRPr="00D65E53">
              <w:rPr>
                <w:rFonts w:cstheme="minorHAnsi"/>
                <w:lang w:val="en-US"/>
              </w:rPr>
              <w:t>-License : cc-by 3.0</w:t>
            </w:r>
          </w:p>
          <w:p w14:paraId="0676DCCB" w14:textId="77777777" w:rsidR="00D7479E" w:rsidRPr="00D65E53" w:rsidRDefault="00D7479E" w:rsidP="00AD60D0">
            <w:pPr>
              <w:rPr>
                <w:rFonts w:cstheme="minorHAnsi"/>
                <w:lang w:val="en-US"/>
              </w:rPr>
            </w:pPr>
          </w:p>
        </w:tc>
        <w:tc>
          <w:tcPr>
            <w:tcW w:w="2126" w:type="dxa"/>
          </w:tcPr>
          <w:p w14:paraId="6CA8BA34" w14:textId="77777777" w:rsidR="00B95919" w:rsidRPr="00A113C0" w:rsidRDefault="00B95919" w:rsidP="00B95919">
            <w:pPr>
              <w:rPr>
                <w:rFonts w:cstheme="minorHAnsi"/>
              </w:rPr>
            </w:pPr>
            <w:r w:rsidRPr="00A113C0">
              <w:rPr>
                <w:rFonts w:cstheme="minorHAnsi"/>
              </w:rPr>
              <w:t>- Harmonisation des licences</w:t>
            </w:r>
          </w:p>
          <w:p w14:paraId="12CE6E0E" w14:textId="1FFC5082" w:rsidR="00D7479E" w:rsidRPr="00A113C0" w:rsidRDefault="00B95919" w:rsidP="00B95919">
            <w:pPr>
              <w:spacing w:line="256" w:lineRule="auto"/>
              <w:rPr>
                <w:rFonts w:cstheme="minorHAnsi"/>
              </w:rPr>
            </w:pPr>
            <w:r w:rsidRPr="00A113C0">
              <w:rPr>
                <w:rFonts w:cstheme="minorHAnsi"/>
              </w:rPr>
              <w:t>- Publication complète sur le portail central</w:t>
            </w:r>
          </w:p>
        </w:tc>
      </w:tr>
      <w:tr w:rsidR="00D7479E" w:rsidRPr="005217B7" w14:paraId="6BE2B9EE" w14:textId="1460CEC7" w:rsidTr="00974263">
        <w:trPr>
          <w:trHeight w:val="262"/>
        </w:trPr>
        <w:tc>
          <w:tcPr>
            <w:tcW w:w="1928" w:type="dxa"/>
          </w:tcPr>
          <w:p w14:paraId="58FE5108" w14:textId="77777777" w:rsidR="00D7479E" w:rsidRPr="00A113C0" w:rsidRDefault="00E8606D" w:rsidP="00AD60D0">
            <w:pPr>
              <w:spacing w:line="256" w:lineRule="auto"/>
              <w:rPr>
                <w:rFonts w:cstheme="minorHAnsi"/>
              </w:rPr>
            </w:pPr>
            <w:hyperlink r:id="rId64" w:history="1">
              <w:r w:rsidR="00D7479E" w:rsidRPr="00A113C0">
                <w:rPr>
                  <w:rStyle w:val="Lienhypertexte"/>
                  <w:rFonts w:cstheme="minorHAnsi"/>
                </w:rPr>
                <w:t>http://www.santetunisie.rns.tn/fr/</w:t>
              </w:r>
            </w:hyperlink>
            <w:r w:rsidR="00D7479E" w:rsidRPr="00A113C0">
              <w:rPr>
                <w:rFonts w:cstheme="minorHAnsi"/>
              </w:rPr>
              <w:t xml:space="preserve"> </w:t>
            </w:r>
          </w:p>
        </w:tc>
        <w:tc>
          <w:tcPr>
            <w:tcW w:w="1672" w:type="dxa"/>
          </w:tcPr>
          <w:p w14:paraId="2F7788E2" w14:textId="77777777" w:rsidR="00D7479E" w:rsidRPr="00A113C0" w:rsidRDefault="00D7479E" w:rsidP="00AD60D0">
            <w:pPr>
              <w:spacing w:line="256" w:lineRule="auto"/>
              <w:rPr>
                <w:rFonts w:cstheme="minorHAnsi"/>
              </w:rPr>
            </w:pPr>
            <w:r w:rsidRPr="00A113C0">
              <w:rPr>
                <w:rFonts w:cstheme="minorHAnsi"/>
              </w:rPr>
              <w:t xml:space="preserve">Ministère de la Santé </w:t>
            </w:r>
          </w:p>
        </w:tc>
        <w:tc>
          <w:tcPr>
            <w:tcW w:w="2212" w:type="dxa"/>
          </w:tcPr>
          <w:p w14:paraId="17CB0BF0" w14:textId="77777777" w:rsidR="00D7479E" w:rsidRPr="00A113C0" w:rsidRDefault="00D7479E" w:rsidP="00AD60D0">
            <w:pPr>
              <w:spacing w:line="256" w:lineRule="auto"/>
              <w:rPr>
                <w:rFonts w:cstheme="minorHAnsi"/>
              </w:rPr>
            </w:pPr>
            <w:r w:rsidRPr="00A113C0">
              <w:rPr>
                <w:rFonts w:cstheme="minorHAnsi"/>
              </w:rPr>
              <w:t>Carte Sanitaire</w:t>
            </w:r>
          </w:p>
        </w:tc>
        <w:tc>
          <w:tcPr>
            <w:tcW w:w="1701" w:type="dxa"/>
          </w:tcPr>
          <w:p w14:paraId="6395B4C0" w14:textId="77777777" w:rsidR="00D7479E" w:rsidRPr="00A113C0" w:rsidRDefault="00D7479E" w:rsidP="00AD60D0">
            <w:pPr>
              <w:spacing w:line="256" w:lineRule="auto"/>
              <w:rPr>
                <w:rFonts w:cstheme="minorHAnsi"/>
              </w:rPr>
            </w:pPr>
            <w:r w:rsidRPr="00A113C0">
              <w:rPr>
                <w:rFonts w:cstheme="minorHAnsi"/>
              </w:rPr>
              <w:t>- Données PDF</w:t>
            </w:r>
          </w:p>
          <w:p w14:paraId="01441D4B" w14:textId="77777777" w:rsidR="00D7479E" w:rsidRPr="00A113C0" w:rsidRDefault="00D7479E" w:rsidP="00AD60D0">
            <w:pPr>
              <w:spacing w:line="256" w:lineRule="auto"/>
              <w:rPr>
                <w:rFonts w:cstheme="minorHAnsi"/>
              </w:rPr>
            </w:pPr>
            <w:r w:rsidRPr="00A113C0">
              <w:rPr>
                <w:rFonts w:cstheme="minorHAnsi"/>
              </w:rPr>
              <w:t>-Absence de données brutes téléchargeables</w:t>
            </w:r>
          </w:p>
          <w:p w14:paraId="2D247D2C" w14:textId="77777777" w:rsidR="00D7479E" w:rsidRPr="00A113C0" w:rsidRDefault="00D7479E" w:rsidP="00AD60D0">
            <w:pPr>
              <w:spacing w:line="256" w:lineRule="auto"/>
              <w:rPr>
                <w:rFonts w:cstheme="minorHAnsi"/>
              </w:rPr>
            </w:pPr>
            <w:r w:rsidRPr="00A113C0">
              <w:rPr>
                <w:rFonts w:cstheme="minorHAnsi"/>
              </w:rPr>
              <w:t>-Absence de licence</w:t>
            </w:r>
          </w:p>
        </w:tc>
        <w:tc>
          <w:tcPr>
            <w:tcW w:w="2126" w:type="dxa"/>
          </w:tcPr>
          <w:p w14:paraId="5462190F" w14:textId="126E90AC" w:rsidR="00B95919" w:rsidRPr="00A113C0" w:rsidRDefault="00B95919" w:rsidP="00B95919">
            <w:pPr>
              <w:rPr>
                <w:rFonts w:cstheme="minorHAnsi"/>
              </w:rPr>
            </w:pPr>
            <w:r w:rsidRPr="00A113C0">
              <w:rPr>
                <w:rFonts w:cstheme="minorHAnsi"/>
              </w:rPr>
              <w:t>- Publication des données brutes et notamment géospatiale</w:t>
            </w:r>
            <w:r w:rsidR="00F72866">
              <w:rPr>
                <w:rFonts w:cstheme="minorHAnsi"/>
              </w:rPr>
              <w:t>s</w:t>
            </w:r>
          </w:p>
          <w:p w14:paraId="52684451" w14:textId="77777777" w:rsidR="00B95919" w:rsidRPr="00A113C0" w:rsidRDefault="00B95919" w:rsidP="00B95919">
            <w:pPr>
              <w:rPr>
                <w:rFonts w:cstheme="minorHAnsi"/>
              </w:rPr>
            </w:pPr>
            <w:r w:rsidRPr="00A113C0">
              <w:rPr>
                <w:rFonts w:cstheme="minorHAnsi"/>
              </w:rPr>
              <w:t>- Adoption d’une licence ouverte</w:t>
            </w:r>
          </w:p>
          <w:p w14:paraId="60E96AE7" w14:textId="77777777" w:rsidR="00D7479E" w:rsidRPr="00A113C0" w:rsidRDefault="00D7479E" w:rsidP="00AD60D0">
            <w:pPr>
              <w:spacing w:line="256" w:lineRule="auto"/>
              <w:rPr>
                <w:rFonts w:cstheme="minorHAnsi"/>
              </w:rPr>
            </w:pPr>
          </w:p>
        </w:tc>
      </w:tr>
      <w:tr w:rsidR="00D7479E" w:rsidRPr="005217B7" w14:paraId="405E0471" w14:textId="75B70C1D" w:rsidTr="00974263">
        <w:trPr>
          <w:trHeight w:val="262"/>
        </w:trPr>
        <w:tc>
          <w:tcPr>
            <w:tcW w:w="1928" w:type="dxa"/>
          </w:tcPr>
          <w:p w14:paraId="7403C699" w14:textId="77777777" w:rsidR="00D7479E" w:rsidRPr="00A113C0" w:rsidRDefault="00E8606D" w:rsidP="00AD60D0">
            <w:pPr>
              <w:spacing w:line="256" w:lineRule="auto"/>
              <w:rPr>
                <w:rFonts w:cstheme="minorHAnsi"/>
              </w:rPr>
            </w:pPr>
            <w:hyperlink r:id="rId65" w:history="1">
              <w:r w:rsidR="00D7479E" w:rsidRPr="00A113C0">
                <w:rPr>
                  <w:rStyle w:val="Lienhypertexte"/>
                  <w:rFonts w:cstheme="minorHAnsi"/>
                </w:rPr>
                <w:t>http://www.isie.tn</w:t>
              </w:r>
            </w:hyperlink>
            <w:r w:rsidR="00D7479E" w:rsidRPr="00A113C0">
              <w:rPr>
                <w:rFonts w:cstheme="minorHAnsi"/>
              </w:rPr>
              <w:t xml:space="preserve"> </w:t>
            </w:r>
          </w:p>
        </w:tc>
        <w:tc>
          <w:tcPr>
            <w:tcW w:w="1672" w:type="dxa"/>
          </w:tcPr>
          <w:p w14:paraId="4FE6C9CD" w14:textId="77777777" w:rsidR="00D7479E" w:rsidRPr="00A113C0" w:rsidRDefault="00D7479E" w:rsidP="000C1986">
            <w:pPr>
              <w:spacing w:after="0" w:line="256" w:lineRule="auto"/>
              <w:rPr>
                <w:rFonts w:cstheme="minorHAnsi"/>
              </w:rPr>
            </w:pPr>
            <w:r w:rsidRPr="00A113C0">
              <w:rPr>
                <w:rFonts w:cstheme="minorHAnsi"/>
              </w:rPr>
              <w:t>Instance Supérieure Indépendant pour les élections</w:t>
            </w:r>
          </w:p>
        </w:tc>
        <w:tc>
          <w:tcPr>
            <w:tcW w:w="2212" w:type="dxa"/>
          </w:tcPr>
          <w:p w14:paraId="63D89ECD" w14:textId="5FAFAB0E" w:rsidR="00D7479E" w:rsidRPr="00A113C0" w:rsidRDefault="00D7479E" w:rsidP="00AD60D0">
            <w:pPr>
              <w:spacing w:line="256" w:lineRule="auto"/>
              <w:rPr>
                <w:rFonts w:cstheme="minorHAnsi"/>
              </w:rPr>
            </w:pPr>
            <w:r w:rsidRPr="00A113C0">
              <w:rPr>
                <w:rFonts w:cstheme="minorHAnsi"/>
              </w:rPr>
              <w:t xml:space="preserve">Résultats </w:t>
            </w:r>
            <w:r w:rsidR="002B413B" w:rsidRPr="00A113C0">
              <w:rPr>
                <w:rFonts w:cstheme="minorHAnsi"/>
              </w:rPr>
              <w:t>des élections</w:t>
            </w:r>
            <w:r w:rsidRPr="00A113C0">
              <w:rPr>
                <w:rFonts w:cstheme="minorHAnsi"/>
              </w:rPr>
              <w:t xml:space="preserve"> par bureaux de vote</w:t>
            </w:r>
          </w:p>
        </w:tc>
        <w:tc>
          <w:tcPr>
            <w:tcW w:w="1701" w:type="dxa"/>
          </w:tcPr>
          <w:p w14:paraId="08511CCE" w14:textId="77777777" w:rsidR="00D7479E" w:rsidRPr="00A113C0" w:rsidRDefault="00D7479E" w:rsidP="00AD60D0">
            <w:pPr>
              <w:spacing w:line="256" w:lineRule="auto"/>
              <w:rPr>
                <w:rFonts w:cstheme="minorHAnsi"/>
              </w:rPr>
            </w:pPr>
            <w:r w:rsidRPr="00A113C0">
              <w:rPr>
                <w:rFonts w:cstheme="minorHAnsi"/>
              </w:rPr>
              <w:t>-Document PDF</w:t>
            </w:r>
          </w:p>
          <w:p w14:paraId="2ACAC7C1" w14:textId="77777777" w:rsidR="00D7479E" w:rsidRPr="00A113C0" w:rsidRDefault="00D7479E" w:rsidP="000C1986">
            <w:pPr>
              <w:spacing w:after="0" w:line="256" w:lineRule="auto"/>
              <w:rPr>
                <w:rFonts w:cstheme="minorHAnsi"/>
              </w:rPr>
            </w:pPr>
            <w:r w:rsidRPr="00A113C0">
              <w:rPr>
                <w:rFonts w:cstheme="minorHAnsi"/>
              </w:rPr>
              <w:t>-Absence de licence de réutilisation</w:t>
            </w:r>
          </w:p>
        </w:tc>
        <w:tc>
          <w:tcPr>
            <w:tcW w:w="2126" w:type="dxa"/>
          </w:tcPr>
          <w:p w14:paraId="0C73C195" w14:textId="056B2379" w:rsidR="00B95919" w:rsidRPr="00A113C0" w:rsidRDefault="00F72866" w:rsidP="00B95919">
            <w:pPr>
              <w:rPr>
                <w:rFonts w:cstheme="minorHAnsi"/>
              </w:rPr>
            </w:pPr>
            <w:r>
              <w:rPr>
                <w:rFonts w:cstheme="minorHAnsi"/>
              </w:rPr>
              <w:t xml:space="preserve">- </w:t>
            </w:r>
            <w:r w:rsidR="00B95919" w:rsidRPr="00A113C0">
              <w:rPr>
                <w:rFonts w:cstheme="minorHAnsi"/>
              </w:rPr>
              <w:t xml:space="preserve">Publication des données brutes </w:t>
            </w:r>
          </w:p>
          <w:p w14:paraId="4FD631F1" w14:textId="77777777" w:rsidR="00B95919" w:rsidRPr="00A113C0" w:rsidRDefault="00B95919" w:rsidP="00B95919">
            <w:pPr>
              <w:rPr>
                <w:rFonts w:cstheme="minorHAnsi"/>
              </w:rPr>
            </w:pPr>
            <w:r w:rsidRPr="00A113C0">
              <w:rPr>
                <w:rFonts w:cstheme="minorHAnsi"/>
              </w:rPr>
              <w:t>- Adoption d’une licence ouverte</w:t>
            </w:r>
          </w:p>
          <w:p w14:paraId="0A589978" w14:textId="77777777" w:rsidR="00D7479E" w:rsidRPr="00A113C0" w:rsidRDefault="00D7479E" w:rsidP="00AD60D0">
            <w:pPr>
              <w:spacing w:line="256" w:lineRule="auto"/>
              <w:rPr>
                <w:rFonts w:cstheme="minorHAnsi"/>
              </w:rPr>
            </w:pPr>
          </w:p>
        </w:tc>
      </w:tr>
      <w:tr w:rsidR="00D7479E" w:rsidRPr="005217B7" w14:paraId="6487EB73" w14:textId="0404377C" w:rsidTr="00974263">
        <w:trPr>
          <w:trHeight w:val="262"/>
        </w:trPr>
        <w:tc>
          <w:tcPr>
            <w:tcW w:w="1928" w:type="dxa"/>
          </w:tcPr>
          <w:p w14:paraId="71DD27E8" w14:textId="77777777" w:rsidR="00D7479E" w:rsidRPr="00A113C0" w:rsidRDefault="00E8606D" w:rsidP="00AD60D0">
            <w:pPr>
              <w:spacing w:line="256" w:lineRule="auto"/>
              <w:rPr>
                <w:rFonts w:cstheme="minorHAnsi"/>
              </w:rPr>
            </w:pPr>
            <w:hyperlink r:id="rId66" w:history="1">
              <w:r w:rsidR="00D7479E" w:rsidRPr="00A113C0">
                <w:rPr>
                  <w:rStyle w:val="Lienhypertexte"/>
                  <w:rFonts w:cstheme="minorHAnsi"/>
                </w:rPr>
                <w:t>http://www.registre-commerce.tn/</w:t>
              </w:r>
            </w:hyperlink>
          </w:p>
          <w:p w14:paraId="4C50ECB6" w14:textId="77777777" w:rsidR="00D7479E" w:rsidRPr="00A113C0" w:rsidRDefault="00D7479E" w:rsidP="00AD60D0">
            <w:pPr>
              <w:spacing w:line="256" w:lineRule="auto"/>
              <w:rPr>
                <w:rFonts w:cstheme="minorHAnsi"/>
              </w:rPr>
            </w:pPr>
          </w:p>
        </w:tc>
        <w:tc>
          <w:tcPr>
            <w:tcW w:w="1672" w:type="dxa"/>
          </w:tcPr>
          <w:p w14:paraId="5795DEA7" w14:textId="77777777" w:rsidR="00D7479E" w:rsidRPr="00A113C0" w:rsidRDefault="00D7479E" w:rsidP="00AD60D0">
            <w:pPr>
              <w:spacing w:line="256" w:lineRule="auto"/>
              <w:rPr>
                <w:rFonts w:cstheme="minorHAnsi"/>
              </w:rPr>
            </w:pPr>
            <w:r w:rsidRPr="00A113C0">
              <w:rPr>
                <w:rFonts w:cstheme="minorHAnsi"/>
              </w:rPr>
              <w:t>Ministère de l’industrie</w:t>
            </w:r>
          </w:p>
        </w:tc>
        <w:tc>
          <w:tcPr>
            <w:tcW w:w="2212" w:type="dxa"/>
          </w:tcPr>
          <w:p w14:paraId="2B8B9306" w14:textId="772E8FEF" w:rsidR="00D7479E" w:rsidRPr="00A113C0" w:rsidRDefault="00D7479E" w:rsidP="00AD60D0">
            <w:pPr>
              <w:spacing w:line="256" w:lineRule="auto"/>
              <w:rPr>
                <w:rFonts w:cstheme="minorHAnsi"/>
              </w:rPr>
            </w:pPr>
            <w:r w:rsidRPr="00A113C0">
              <w:rPr>
                <w:rFonts w:cstheme="minorHAnsi"/>
              </w:rPr>
              <w:t>Registre des société</w:t>
            </w:r>
            <w:r w:rsidR="00F72866">
              <w:rPr>
                <w:rFonts w:cstheme="minorHAnsi"/>
              </w:rPr>
              <w:t>s</w:t>
            </w:r>
            <w:r w:rsidRPr="00A113C0">
              <w:rPr>
                <w:rFonts w:cstheme="minorHAnsi"/>
              </w:rPr>
              <w:t> </w:t>
            </w:r>
          </w:p>
        </w:tc>
        <w:tc>
          <w:tcPr>
            <w:tcW w:w="1701" w:type="dxa"/>
          </w:tcPr>
          <w:p w14:paraId="2494054E" w14:textId="77777777" w:rsidR="00D7479E" w:rsidRPr="00A113C0" w:rsidRDefault="00D7479E" w:rsidP="00AD60D0">
            <w:pPr>
              <w:spacing w:line="256" w:lineRule="auto"/>
              <w:rPr>
                <w:rFonts w:cstheme="minorHAnsi"/>
              </w:rPr>
            </w:pPr>
            <w:r w:rsidRPr="00A113C0">
              <w:rPr>
                <w:rFonts w:cstheme="minorHAnsi"/>
              </w:rPr>
              <w:t>-Information Payante</w:t>
            </w:r>
          </w:p>
          <w:p w14:paraId="5D9C36AF" w14:textId="77777777" w:rsidR="00D7479E" w:rsidRPr="00A113C0" w:rsidRDefault="00D7479E" w:rsidP="00AD60D0">
            <w:pPr>
              <w:spacing w:line="256" w:lineRule="auto"/>
              <w:rPr>
                <w:rFonts w:cstheme="minorHAnsi"/>
              </w:rPr>
            </w:pPr>
            <w:r w:rsidRPr="00A113C0">
              <w:rPr>
                <w:rFonts w:cstheme="minorHAnsi"/>
              </w:rPr>
              <w:t>-Absence de données brutes téléchargeables</w:t>
            </w:r>
          </w:p>
          <w:p w14:paraId="4CEABE00" w14:textId="77777777" w:rsidR="00D7479E" w:rsidRPr="00A113C0" w:rsidRDefault="00D7479E" w:rsidP="000C1986">
            <w:pPr>
              <w:spacing w:after="0" w:line="256" w:lineRule="auto"/>
              <w:rPr>
                <w:rFonts w:cstheme="minorHAnsi"/>
              </w:rPr>
            </w:pPr>
            <w:r w:rsidRPr="00A113C0">
              <w:rPr>
                <w:rFonts w:cstheme="minorHAnsi"/>
              </w:rPr>
              <w:t>-Absence de licence</w:t>
            </w:r>
          </w:p>
        </w:tc>
        <w:tc>
          <w:tcPr>
            <w:tcW w:w="2126" w:type="dxa"/>
          </w:tcPr>
          <w:p w14:paraId="58C3785F" w14:textId="50263697" w:rsidR="00B95919" w:rsidRPr="00A113C0" w:rsidRDefault="00B95919" w:rsidP="00B95919">
            <w:pPr>
              <w:rPr>
                <w:rFonts w:cstheme="minorHAnsi"/>
              </w:rPr>
            </w:pPr>
            <w:r w:rsidRPr="00A113C0">
              <w:rPr>
                <w:rFonts w:cstheme="minorHAnsi"/>
              </w:rPr>
              <w:t>- Publication des données brutes gratuitement</w:t>
            </w:r>
          </w:p>
          <w:p w14:paraId="5DEDC055" w14:textId="77777777" w:rsidR="00B95919" w:rsidRPr="00A113C0" w:rsidRDefault="00B95919" w:rsidP="00B95919">
            <w:pPr>
              <w:rPr>
                <w:rFonts w:cstheme="minorHAnsi"/>
              </w:rPr>
            </w:pPr>
            <w:r w:rsidRPr="00A113C0">
              <w:rPr>
                <w:rFonts w:cstheme="minorHAnsi"/>
              </w:rPr>
              <w:t>- Adoption d’une licence ouverte</w:t>
            </w:r>
          </w:p>
          <w:p w14:paraId="30D14DF0" w14:textId="77777777" w:rsidR="00D7479E" w:rsidRPr="00A113C0" w:rsidRDefault="00D7479E" w:rsidP="00AD60D0">
            <w:pPr>
              <w:spacing w:line="256" w:lineRule="auto"/>
              <w:rPr>
                <w:rFonts w:cstheme="minorHAnsi"/>
              </w:rPr>
            </w:pPr>
          </w:p>
        </w:tc>
      </w:tr>
      <w:tr w:rsidR="00D7479E" w:rsidRPr="005217B7" w14:paraId="0739EC43" w14:textId="68A7CB60" w:rsidTr="00974263">
        <w:trPr>
          <w:trHeight w:val="262"/>
        </w:trPr>
        <w:tc>
          <w:tcPr>
            <w:tcW w:w="1928" w:type="dxa"/>
          </w:tcPr>
          <w:p w14:paraId="4D6098BB" w14:textId="77777777" w:rsidR="00D7479E" w:rsidRPr="00A113C0" w:rsidRDefault="00E8606D" w:rsidP="00AD60D0">
            <w:pPr>
              <w:spacing w:line="256" w:lineRule="auto"/>
              <w:rPr>
                <w:rFonts w:cstheme="minorHAnsi"/>
              </w:rPr>
            </w:pPr>
            <w:hyperlink r:id="rId67" w:history="1">
              <w:r w:rsidR="00D7479E" w:rsidRPr="00A113C0">
                <w:rPr>
                  <w:rStyle w:val="Lienhypertexte"/>
                  <w:rFonts w:cstheme="minorHAnsi"/>
                </w:rPr>
                <w:t>http://www.tunisieindustrie.nat.tn/fr/dbi.asp</w:t>
              </w:r>
            </w:hyperlink>
            <w:r w:rsidR="00D7479E" w:rsidRPr="00A113C0">
              <w:rPr>
                <w:rFonts w:cstheme="minorHAnsi"/>
              </w:rPr>
              <w:t xml:space="preserve"> </w:t>
            </w:r>
          </w:p>
        </w:tc>
        <w:tc>
          <w:tcPr>
            <w:tcW w:w="1672" w:type="dxa"/>
          </w:tcPr>
          <w:p w14:paraId="0DD024BD" w14:textId="77777777" w:rsidR="00D7479E" w:rsidRPr="00A113C0" w:rsidRDefault="00D7479E" w:rsidP="00AD60D0">
            <w:pPr>
              <w:spacing w:line="256" w:lineRule="auto"/>
              <w:rPr>
                <w:rFonts w:cstheme="minorHAnsi"/>
              </w:rPr>
            </w:pPr>
            <w:r w:rsidRPr="00A113C0">
              <w:rPr>
                <w:rFonts w:cstheme="minorHAnsi"/>
              </w:rPr>
              <w:t>Ministère de l’industrie</w:t>
            </w:r>
          </w:p>
        </w:tc>
        <w:tc>
          <w:tcPr>
            <w:tcW w:w="2212" w:type="dxa"/>
          </w:tcPr>
          <w:p w14:paraId="051E223B" w14:textId="77777777" w:rsidR="00D7479E" w:rsidRPr="00A113C0" w:rsidRDefault="00D7479E" w:rsidP="00AD60D0">
            <w:pPr>
              <w:spacing w:line="256" w:lineRule="auto"/>
              <w:rPr>
                <w:rFonts w:cstheme="minorHAnsi"/>
              </w:rPr>
            </w:pPr>
            <w:r w:rsidRPr="00A113C0">
              <w:rPr>
                <w:rFonts w:cstheme="minorHAnsi"/>
              </w:rPr>
              <w:t>Annuaire d’entreprise</w:t>
            </w:r>
          </w:p>
        </w:tc>
        <w:tc>
          <w:tcPr>
            <w:tcW w:w="1701" w:type="dxa"/>
          </w:tcPr>
          <w:p w14:paraId="7013F46B" w14:textId="77777777" w:rsidR="00D7479E" w:rsidRPr="00A113C0" w:rsidRDefault="00D7479E" w:rsidP="00AD60D0">
            <w:pPr>
              <w:spacing w:line="256" w:lineRule="auto"/>
              <w:rPr>
                <w:rFonts w:cstheme="minorHAnsi"/>
              </w:rPr>
            </w:pPr>
            <w:r w:rsidRPr="00A113C0">
              <w:rPr>
                <w:rFonts w:cstheme="minorHAnsi"/>
              </w:rPr>
              <w:t>-Absence de données brutes téléchargeable</w:t>
            </w:r>
          </w:p>
          <w:p w14:paraId="4894958C" w14:textId="77777777" w:rsidR="00D7479E" w:rsidRPr="00A113C0" w:rsidRDefault="00D7479E" w:rsidP="000C1986">
            <w:pPr>
              <w:spacing w:after="0" w:line="256" w:lineRule="auto"/>
              <w:rPr>
                <w:rFonts w:cstheme="minorHAnsi"/>
              </w:rPr>
            </w:pPr>
            <w:r w:rsidRPr="00A113C0">
              <w:rPr>
                <w:rFonts w:cstheme="minorHAnsi"/>
              </w:rPr>
              <w:t>-Absence de licence</w:t>
            </w:r>
          </w:p>
        </w:tc>
        <w:tc>
          <w:tcPr>
            <w:tcW w:w="2126" w:type="dxa"/>
          </w:tcPr>
          <w:p w14:paraId="3738159D" w14:textId="77777777" w:rsidR="00B95919" w:rsidRPr="00A113C0" w:rsidRDefault="00B95919" w:rsidP="00B95919">
            <w:pPr>
              <w:rPr>
                <w:rFonts w:cstheme="minorHAnsi"/>
              </w:rPr>
            </w:pPr>
            <w:r w:rsidRPr="00A113C0">
              <w:rPr>
                <w:rFonts w:cstheme="minorHAnsi"/>
              </w:rPr>
              <w:t>- Publication des données brutes gratuitement</w:t>
            </w:r>
          </w:p>
          <w:p w14:paraId="0831FDE4" w14:textId="255829E3" w:rsidR="00D7479E" w:rsidRPr="00A113C0" w:rsidRDefault="00B95919" w:rsidP="000C1986">
            <w:pPr>
              <w:rPr>
                <w:rFonts w:cstheme="minorHAnsi"/>
              </w:rPr>
            </w:pPr>
            <w:r w:rsidRPr="00A113C0">
              <w:rPr>
                <w:rFonts w:cstheme="minorHAnsi"/>
              </w:rPr>
              <w:t>- Adoption d’une licence ouverte</w:t>
            </w:r>
          </w:p>
        </w:tc>
      </w:tr>
      <w:tr w:rsidR="00D7479E" w:rsidRPr="005217B7" w14:paraId="2DE5E344" w14:textId="00E5C968" w:rsidTr="00974263">
        <w:trPr>
          <w:trHeight w:val="262"/>
        </w:trPr>
        <w:tc>
          <w:tcPr>
            <w:tcW w:w="1928" w:type="dxa"/>
          </w:tcPr>
          <w:p w14:paraId="542975FE" w14:textId="77777777" w:rsidR="00D7479E" w:rsidRPr="00A113C0" w:rsidRDefault="00D7479E" w:rsidP="00AD60D0">
            <w:pPr>
              <w:spacing w:line="256" w:lineRule="auto"/>
              <w:rPr>
                <w:rFonts w:cstheme="minorHAnsi"/>
              </w:rPr>
            </w:pPr>
            <w:r w:rsidRPr="00A113C0">
              <w:rPr>
                <w:rFonts w:cstheme="minorHAnsi"/>
              </w:rPr>
              <w:t xml:space="preserve"> </w:t>
            </w:r>
            <w:hyperlink r:id="rId68" w:history="1">
              <w:r w:rsidRPr="00A113C0">
                <w:rPr>
                  <w:rStyle w:val="Lienhypertexte"/>
                  <w:rFonts w:cstheme="minorHAnsi"/>
                </w:rPr>
                <w:t>http://jurisprudence.e-justice.tn/wwwisis/juris.10/form.htm</w:t>
              </w:r>
            </w:hyperlink>
            <w:r w:rsidRPr="00A113C0">
              <w:rPr>
                <w:rFonts w:cstheme="minorHAnsi"/>
              </w:rPr>
              <w:t xml:space="preserve"> </w:t>
            </w:r>
          </w:p>
        </w:tc>
        <w:tc>
          <w:tcPr>
            <w:tcW w:w="1672" w:type="dxa"/>
          </w:tcPr>
          <w:p w14:paraId="55A07F31" w14:textId="77777777" w:rsidR="00D7479E" w:rsidRPr="00A113C0" w:rsidRDefault="00D7479E" w:rsidP="00AD60D0">
            <w:pPr>
              <w:spacing w:line="256" w:lineRule="auto"/>
              <w:rPr>
                <w:rFonts w:cstheme="minorHAnsi"/>
              </w:rPr>
            </w:pPr>
            <w:r w:rsidRPr="00A113C0">
              <w:rPr>
                <w:rFonts w:cstheme="minorHAnsi"/>
              </w:rPr>
              <w:t>Ministère de la Justice</w:t>
            </w:r>
          </w:p>
        </w:tc>
        <w:tc>
          <w:tcPr>
            <w:tcW w:w="2212" w:type="dxa"/>
          </w:tcPr>
          <w:p w14:paraId="093C668D" w14:textId="77777777" w:rsidR="00D7479E" w:rsidRPr="00A113C0" w:rsidRDefault="00D7479E" w:rsidP="00AD60D0">
            <w:pPr>
              <w:spacing w:line="256" w:lineRule="auto"/>
              <w:rPr>
                <w:rFonts w:cstheme="minorHAnsi"/>
              </w:rPr>
            </w:pPr>
            <w:r w:rsidRPr="00A113C0">
              <w:rPr>
                <w:rFonts w:cstheme="minorHAnsi"/>
              </w:rPr>
              <w:t>Jurisprudence</w:t>
            </w:r>
          </w:p>
        </w:tc>
        <w:tc>
          <w:tcPr>
            <w:tcW w:w="1701" w:type="dxa"/>
          </w:tcPr>
          <w:p w14:paraId="6D36EA57" w14:textId="77777777" w:rsidR="00D7479E" w:rsidRPr="00A113C0" w:rsidRDefault="00D7479E" w:rsidP="00AD60D0">
            <w:pPr>
              <w:spacing w:line="256" w:lineRule="auto"/>
              <w:rPr>
                <w:rFonts w:cstheme="minorHAnsi"/>
              </w:rPr>
            </w:pPr>
            <w:r w:rsidRPr="00A113C0">
              <w:rPr>
                <w:rFonts w:cstheme="minorHAnsi"/>
              </w:rPr>
              <w:t>-Absence de données brutes téléchargeables</w:t>
            </w:r>
          </w:p>
          <w:p w14:paraId="6EC8F181" w14:textId="77777777" w:rsidR="00D7479E" w:rsidRPr="00A113C0" w:rsidRDefault="00D7479E" w:rsidP="000C1986">
            <w:pPr>
              <w:spacing w:after="0" w:line="256" w:lineRule="auto"/>
              <w:rPr>
                <w:rFonts w:cstheme="minorHAnsi"/>
              </w:rPr>
            </w:pPr>
            <w:r w:rsidRPr="00A113C0">
              <w:rPr>
                <w:rFonts w:cstheme="minorHAnsi"/>
              </w:rPr>
              <w:t>-Absence de licence</w:t>
            </w:r>
          </w:p>
        </w:tc>
        <w:tc>
          <w:tcPr>
            <w:tcW w:w="2126" w:type="dxa"/>
          </w:tcPr>
          <w:p w14:paraId="02A5C336" w14:textId="234C1B7D" w:rsidR="00B95919" w:rsidRPr="00A113C0" w:rsidRDefault="00B95919" w:rsidP="00B95919">
            <w:pPr>
              <w:rPr>
                <w:rFonts w:cstheme="minorHAnsi"/>
              </w:rPr>
            </w:pPr>
            <w:r w:rsidRPr="00A113C0">
              <w:rPr>
                <w:rFonts w:cstheme="minorHAnsi"/>
              </w:rPr>
              <w:t>- Publication des données brutes (texte)</w:t>
            </w:r>
          </w:p>
          <w:p w14:paraId="0A6C4964" w14:textId="04881F05" w:rsidR="00D7479E" w:rsidRPr="00A113C0" w:rsidRDefault="00B95919" w:rsidP="000C1986">
            <w:pPr>
              <w:rPr>
                <w:rFonts w:cstheme="minorHAnsi"/>
              </w:rPr>
            </w:pPr>
            <w:r w:rsidRPr="00A113C0">
              <w:rPr>
                <w:rFonts w:cstheme="minorHAnsi"/>
              </w:rPr>
              <w:t>- Adoption d’une licence ouverte</w:t>
            </w:r>
          </w:p>
        </w:tc>
      </w:tr>
      <w:tr w:rsidR="00D7479E" w:rsidRPr="005217B7" w14:paraId="55C19B2C" w14:textId="7748340D" w:rsidTr="00974263">
        <w:trPr>
          <w:trHeight w:val="1335"/>
        </w:trPr>
        <w:tc>
          <w:tcPr>
            <w:tcW w:w="1928" w:type="dxa"/>
          </w:tcPr>
          <w:p w14:paraId="674C75DA" w14:textId="77777777" w:rsidR="00D7479E" w:rsidRPr="00A113C0" w:rsidRDefault="00E8606D" w:rsidP="00AD60D0">
            <w:pPr>
              <w:spacing w:line="256" w:lineRule="auto"/>
              <w:rPr>
                <w:rFonts w:cstheme="minorHAnsi"/>
              </w:rPr>
            </w:pPr>
            <w:hyperlink r:id="rId69" w:history="1">
              <w:r w:rsidR="00D7479E" w:rsidRPr="00A113C0">
                <w:rPr>
                  <w:rStyle w:val="Lienhypertexte"/>
                  <w:rFonts w:cstheme="minorHAnsi"/>
                </w:rPr>
                <w:t>http://www.e-justice.tn/index.php?id=488</w:t>
              </w:r>
            </w:hyperlink>
          </w:p>
        </w:tc>
        <w:tc>
          <w:tcPr>
            <w:tcW w:w="1672" w:type="dxa"/>
          </w:tcPr>
          <w:p w14:paraId="7B521757" w14:textId="77777777" w:rsidR="00D7479E" w:rsidRPr="00A113C0" w:rsidRDefault="00D7479E" w:rsidP="00AD60D0">
            <w:pPr>
              <w:spacing w:line="256" w:lineRule="auto"/>
              <w:rPr>
                <w:rFonts w:cstheme="minorHAnsi"/>
              </w:rPr>
            </w:pPr>
            <w:r w:rsidRPr="00A113C0">
              <w:rPr>
                <w:rFonts w:cstheme="minorHAnsi"/>
              </w:rPr>
              <w:t>Ministère de la Justice</w:t>
            </w:r>
          </w:p>
        </w:tc>
        <w:tc>
          <w:tcPr>
            <w:tcW w:w="2212" w:type="dxa"/>
          </w:tcPr>
          <w:p w14:paraId="17565B12" w14:textId="77777777" w:rsidR="00D7479E" w:rsidRPr="00A113C0" w:rsidRDefault="00D7479E" w:rsidP="00AD60D0">
            <w:pPr>
              <w:spacing w:line="256" w:lineRule="auto"/>
              <w:rPr>
                <w:rFonts w:cstheme="minorHAnsi"/>
              </w:rPr>
            </w:pPr>
            <w:r w:rsidRPr="00A113C0">
              <w:rPr>
                <w:rFonts w:cstheme="minorHAnsi"/>
              </w:rPr>
              <w:t>Carte judiciaire</w:t>
            </w:r>
          </w:p>
        </w:tc>
        <w:tc>
          <w:tcPr>
            <w:tcW w:w="1701" w:type="dxa"/>
          </w:tcPr>
          <w:p w14:paraId="66F07BC2" w14:textId="77777777" w:rsidR="00D7479E" w:rsidRPr="00A113C0" w:rsidRDefault="00D7479E" w:rsidP="000C1986">
            <w:pPr>
              <w:spacing w:after="0" w:line="256" w:lineRule="auto"/>
              <w:rPr>
                <w:rFonts w:cstheme="minorHAnsi"/>
              </w:rPr>
            </w:pPr>
            <w:r w:rsidRPr="00A113C0">
              <w:rPr>
                <w:rFonts w:cstheme="minorHAnsi"/>
              </w:rPr>
              <w:t>-Absence de données brutes téléchargeables</w:t>
            </w:r>
          </w:p>
          <w:p w14:paraId="32C8A07D" w14:textId="77777777" w:rsidR="00D7479E" w:rsidRPr="00A113C0" w:rsidRDefault="00D7479E" w:rsidP="000C1986">
            <w:pPr>
              <w:spacing w:after="0" w:line="256" w:lineRule="auto"/>
              <w:rPr>
                <w:rFonts w:cstheme="minorHAnsi"/>
              </w:rPr>
            </w:pPr>
            <w:r w:rsidRPr="00A113C0">
              <w:rPr>
                <w:rFonts w:cstheme="minorHAnsi"/>
              </w:rPr>
              <w:t>-Absence de licence</w:t>
            </w:r>
          </w:p>
        </w:tc>
        <w:tc>
          <w:tcPr>
            <w:tcW w:w="2126" w:type="dxa"/>
          </w:tcPr>
          <w:p w14:paraId="61C3A6F0" w14:textId="34BA1E73" w:rsidR="00B95919" w:rsidRPr="00A113C0" w:rsidRDefault="00B95919" w:rsidP="00CA4AFE">
            <w:pPr>
              <w:spacing w:after="0"/>
              <w:rPr>
                <w:rFonts w:cstheme="minorHAnsi"/>
              </w:rPr>
            </w:pPr>
            <w:r w:rsidRPr="00A113C0">
              <w:rPr>
                <w:rFonts w:cstheme="minorHAnsi"/>
              </w:rPr>
              <w:t>- Publication des données brutes et notamment géospatiale</w:t>
            </w:r>
            <w:r w:rsidR="00F72866">
              <w:rPr>
                <w:rFonts w:cstheme="minorHAnsi"/>
              </w:rPr>
              <w:t>s</w:t>
            </w:r>
          </w:p>
          <w:p w14:paraId="2801E14E" w14:textId="12D2573D" w:rsidR="00D7479E" w:rsidRPr="00A113C0" w:rsidRDefault="00B95919" w:rsidP="00CA4AFE">
            <w:pPr>
              <w:spacing w:after="0"/>
              <w:rPr>
                <w:rFonts w:cstheme="minorHAnsi"/>
              </w:rPr>
            </w:pPr>
            <w:r w:rsidRPr="00A113C0">
              <w:rPr>
                <w:rFonts w:cstheme="minorHAnsi"/>
              </w:rPr>
              <w:t>- Adoption d’une licence ouverte</w:t>
            </w:r>
          </w:p>
        </w:tc>
      </w:tr>
      <w:tr w:rsidR="00990EC4" w:rsidRPr="005217B7" w14:paraId="2F6EABBE" w14:textId="77777777" w:rsidTr="00974263">
        <w:trPr>
          <w:trHeight w:val="262"/>
        </w:trPr>
        <w:tc>
          <w:tcPr>
            <w:tcW w:w="9639" w:type="dxa"/>
            <w:gridSpan w:val="5"/>
            <w:shd w:val="clear" w:color="auto" w:fill="B6DDE8" w:themeFill="accent5" w:themeFillTint="66"/>
          </w:tcPr>
          <w:p w14:paraId="7F104D33" w14:textId="6468CB35" w:rsidR="00990EC4" w:rsidRPr="00A113C0" w:rsidRDefault="00990EC4" w:rsidP="00B95919">
            <w:pPr>
              <w:rPr>
                <w:rFonts w:cstheme="minorHAnsi"/>
                <w:b/>
              </w:rPr>
            </w:pPr>
            <w:r w:rsidRPr="00A113C0">
              <w:rPr>
                <w:rFonts w:cstheme="minorHAnsi"/>
                <w:b/>
              </w:rPr>
              <w:t>Jeux de données disponibles mais non publiés sous format Open data</w:t>
            </w:r>
          </w:p>
        </w:tc>
      </w:tr>
      <w:tr w:rsidR="00990EC4" w:rsidRPr="005217B7" w14:paraId="651A753E" w14:textId="77777777" w:rsidTr="00974263">
        <w:trPr>
          <w:trHeight w:val="262"/>
        </w:trPr>
        <w:tc>
          <w:tcPr>
            <w:tcW w:w="1928" w:type="dxa"/>
          </w:tcPr>
          <w:p w14:paraId="4A105964" w14:textId="77777777" w:rsidR="00990EC4" w:rsidRDefault="00990EC4" w:rsidP="00AD60D0">
            <w:pPr>
              <w:spacing w:line="256" w:lineRule="auto"/>
            </w:pPr>
          </w:p>
        </w:tc>
        <w:tc>
          <w:tcPr>
            <w:tcW w:w="1672" w:type="dxa"/>
          </w:tcPr>
          <w:p w14:paraId="704235A8" w14:textId="4273A5F9" w:rsidR="00990EC4" w:rsidRPr="006B202E" w:rsidRDefault="00990EC4" w:rsidP="00AD60D0">
            <w:pPr>
              <w:spacing w:line="256" w:lineRule="auto"/>
              <w:rPr>
                <w:rFonts w:cstheme="minorHAnsi"/>
              </w:rPr>
            </w:pPr>
            <w:r w:rsidRPr="006B202E">
              <w:rPr>
                <w:rFonts w:cstheme="minorHAnsi"/>
              </w:rPr>
              <w:t>MIT</w:t>
            </w:r>
          </w:p>
        </w:tc>
        <w:tc>
          <w:tcPr>
            <w:tcW w:w="2212" w:type="dxa"/>
          </w:tcPr>
          <w:p w14:paraId="37115030" w14:textId="37FA1F44" w:rsidR="00990EC4" w:rsidRPr="006B202E" w:rsidRDefault="00990EC4" w:rsidP="00AD60D0">
            <w:pPr>
              <w:spacing w:line="256" w:lineRule="auto"/>
              <w:rPr>
                <w:rFonts w:cstheme="minorHAnsi"/>
              </w:rPr>
            </w:pPr>
            <w:r w:rsidRPr="006B202E">
              <w:rPr>
                <w:rFonts w:cstheme="minorHAnsi"/>
              </w:rPr>
              <w:t>Horaire</w:t>
            </w:r>
            <w:r w:rsidR="00F72866">
              <w:rPr>
                <w:rFonts w:cstheme="minorHAnsi"/>
              </w:rPr>
              <w:t>s</w:t>
            </w:r>
            <w:r w:rsidRPr="006B202E">
              <w:rPr>
                <w:rFonts w:cstheme="minorHAnsi"/>
              </w:rPr>
              <w:t xml:space="preserve"> </w:t>
            </w:r>
            <w:r w:rsidR="002B413B" w:rsidRPr="006B202E">
              <w:rPr>
                <w:rFonts w:cstheme="minorHAnsi"/>
              </w:rPr>
              <w:t>des différentes sociétés</w:t>
            </w:r>
            <w:r w:rsidRPr="006B202E">
              <w:rPr>
                <w:rFonts w:cstheme="minorHAnsi"/>
              </w:rPr>
              <w:t xml:space="preserve"> de transport</w:t>
            </w:r>
          </w:p>
        </w:tc>
        <w:tc>
          <w:tcPr>
            <w:tcW w:w="1701" w:type="dxa"/>
          </w:tcPr>
          <w:p w14:paraId="3911017B" w14:textId="52C0FC07" w:rsidR="0028336A" w:rsidRPr="006B202E" w:rsidRDefault="002B413B" w:rsidP="000C1986">
            <w:pPr>
              <w:spacing w:after="0"/>
              <w:rPr>
                <w:rFonts w:cstheme="minorHAnsi"/>
              </w:rPr>
            </w:pPr>
            <w:r w:rsidRPr="006B202E">
              <w:rPr>
                <w:rFonts w:cstheme="minorHAnsi"/>
              </w:rPr>
              <w:t>Données collectées</w:t>
            </w:r>
            <w:r w:rsidR="0028336A" w:rsidRPr="006B202E">
              <w:rPr>
                <w:rFonts w:cstheme="minorHAnsi"/>
              </w:rPr>
              <w:t xml:space="preserve"> mais non publiée</w:t>
            </w:r>
            <w:r w:rsidR="00F72866">
              <w:rPr>
                <w:rFonts w:cstheme="minorHAnsi"/>
              </w:rPr>
              <w:t>s</w:t>
            </w:r>
          </w:p>
          <w:p w14:paraId="2E3E197B" w14:textId="045E81DA" w:rsidR="00990EC4" w:rsidRPr="006B202E" w:rsidRDefault="0028336A" w:rsidP="00CA4AFE">
            <w:pPr>
              <w:spacing w:after="0" w:line="256" w:lineRule="auto"/>
              <w:rPr>
                <w:rFonts w:cstheme="minorHAnsi"/>
              </w:rPr>
            </w:pPr>
            <w:r w:rsidRPr="006B202E">
              <w:rPr>
                <w:rFonts w:cstheme="minorHAnsi"/>
              </w:rPr>
              <w:t>Engagement OGP 7 du plan d’action OGP</w:t>
            </w:r>
          </w:p>
        </w:tc>
        <w:tc>
          <w:tcPr>
            <w:tcW w:w="2126" w:type="dxa"/>
          </w:tcPr>
          <w:p w14:paraId="1F644792" w14:textId="23489304" w:rsidR="00990EC4" w:rsidRPr="006B202E" w:rsidRDefault="0028336A" w:rsidP="00B95919">
            <w:pPr>
              <w:rPr>
                <w:rFonts w:cstheme="minorHAnsi"/>
                <w:highlight w:val="green"/>
              </w:rPr>
            </w:pPr>
            <w:r w:rsidRPr="006B202E">
              <w:rPr>
                <w:rFonts w:cstheme="minorHAnsi"/>
                <w:highlight w:val="green"/>
              </w:rPr>
              <w:t>Peut être publié à court terme</w:t>
            </w:r>
          </w:p>
        </w:tc>
      </w:tr>
      <w:tr w:rsidR="00990EC4" w:rsidRPr="005217B7" w14:paraId="40D948B0" w14:textId="77777777" w:rsidTr="00974263">
        <w:trPr>
          <w:trHeight w:val="262"/>
        </w:trPr>
        <w:tc>
          <w:tcPr>
            <w:tcW w:w="1928" w:type="dxa"/>
          </w:tcPr>
          <w:p w14:paraId="2BCC1EC9" w14:textId="77777777" w:rsidR="00990EC4" w:rsidRDefault="00990EC4" w:rsidP="00AD60D0">
            <w:pPr>
              <w:spacing w:line="256" w:lineRule="auto"/>
            </w:pPr>
          </w:p>
        </w:tc>
        <w:tc>
          <w:tcPr>
            <w:tcW w:w="1672" w:type="dxa"/>
          </w:tcPr>
          <w:p w14:paraId="50C5BE0A" w14:textId="603E3F02" w:rsidR="00990EC4" w:rsidRPr="006B202E" w:rsidRDefault="00990EC4" w:rsidP="00AD60D0">
            <w:pPr>
              <w:spacing w:line="256" w:lineRule="auto"/>
              <w:rPr>
                <w:rFonts w:cstheme="minorHAnsi"/>
              </w:rPr>
            </w:pPr>
            <w:r w:rsidRPr="006B202E">
              <w:rPr>
                <w:rFonts w:cstheme="minorHAnsi"/>
              </w:rPr>
              <w:t>MIT</w:t>
            </w:r>
          </w:p>
        </w:tc>
        <w:tc>
          <w:tcPr>
            <w:tcW w:w="2212" w:type="dxa"/>
          </w:tcPr>
          <w:p w14:paraId="4D18683D" w14:textId="12196FA2" w:rsidR="00990EC4" w:rsidRPr="006B202E" w:rsidRDefault="00990EC4" w:rsidP="00AD60D0">
            <w:pPr>
              <w:spacing w:line="256" w:lineRule="auto"/>
              <w:rPr>
                <w:rFonts w:cstheme="minorHAnsi"/>
              </w:rPr>
            </w:pPr>
            <w:r w:rsidRPr="006B202E">
              <w:rPr>
                <w:rFonts w:cstheme="minorHAnsi"/>
              </w:rPr>
              <w:t>Données géospatiale</w:t>
            </w:r>
            <w:r w:rsidR="00F72866">
              <w:rPr>
                <w:rFonts w:cstheme="minorHAnsi"/>
              </w:rPr>
              <w:t>s</w:t>
            </w:r>
            <w:r w:rsidRPr="006B202E">
              <w:rPr>
                <w:rFonts w:cstheme="minorHAnsi"/>
              </w:rPr>
              <w:t xml:space="preserve"> sur les trajets, les emplacements des stations</w:t>
            </w:r>
          </w:p>
        </w:tc>
        <w:tc>
          <w:tcPr>
            <w:tcW w:w="1701" w:type="dxa"/>
          </w:tcPr>
          <w:p w14:paraId="0BCF37C3" w14:textId="1A2AE158" w:rsidR="0028336A" w:rsidRPr="006B202E" w:rsidRDefault="002B413B" w:rsidP="0028336A">
            <w:pPr>
              <w:rPr>
                <w:rFonts w:cstheme="minorHAnsi"/>
              </w:rPr>
            </w:pPr>
            <w:r w:rsidRPr="006B202E">
              <w:rPr>
                <w:rFonts w:cstheme="minorHAnsi"/>
              </w:rPr>
              <w:t>Données collectées</w:t>
            </w:r>
            <w:r w:rsidR="0028336A" w:rsidRPr="006B202E">
              <w:rPr>
                <w:rFonts w:cstheme="minorHAnsi"/>
              </w:rPr>
              <w:t xml:space="preserve"> mais non publiée</w:t>
            </w:r>
            <w:r>
              <w:rPr>
                <w:rFonts w:cstheme="minorHAnsi"/>
              </w:rPr>
              <w:t>s</w:t>
            </w:r>
          </w:p>
          <w:p w14:paraId="3C63C780" w14:textId="4B51EC8D" w:rsidR="00990EC4" w:rsidRPr="006B202E" w:rsidRDefault="0028336A" w:rsidP="0028336A">
            <w:pPr>
              <w:spacing w:line="256" w:lineRule="auto"/>
              <w:rPr>
                <w:rFonts w:cstheme="minorHAnsi"/>
              </w:rPr>
            </w:pPr>
            <w:r w:rsidRPr="006B202E">
              <w:rPr>
                <w:rFonts w:cstheme="minorHAnsi"/>
              </w:rPr>
              <w:t>Engagement OGP 7 du plan d’action OGP</w:t>
            </w:r>
          </w:p>
        </w:tc>
        <w:tc>
          <w:tcPr>
            <w:tcW w:w="2126" w:type="dxa"/>
          </w:tcPr>
          <w:p w14:paraId="5AE93D16" w14:textId="323CB401" w:rsidR="00990EC4" w:rsidRPr="006B202E" w:rsidRDefault="0028336A" w:rsidP="00990EC4">
            <w:pPr>
              <w:rPr>
                <w:rFonts w:cstheme="minorHAnsi"/>
              </w:rPr>
            </w:pPr>
            <w:r w:rsidRPr="006B202E">
              <w:rPr>
                <w:rFonts w:cstheme="minorHAnsi"/>
                <w:highlight w:val="green"/>
              </w:rPr>
              <w:t>Peut être publié à court terme</w:t>
            </w:r>
          </w:p>
        </w:tc>
      </w:tr>
      <w:tr w:rsidR="0028336A" w:rsidRPr="005217B7" w14:paraId="4794BD8A" w14:textId="77777777" w:rsidTr="00974263">
        <w:trPr>
          <w:trHeight w:val="262"/>
        </w:trPr>
        <w:tc>
          <w:tcPr>
            <w:tcW w:w="1928" w:type="dxa"/>
          </w:tcPr>
          <w:p w14:paraId="5BB884DB" w14:textId="77777777" w:rsidR="0028336A" w:rsidRDefault="0028336A" w:rsidP="0028336A">
            <w:pPr>
              <w:spacing w:line="256" w:lineRule="auto"/>
            </w:pPr>
          </w:p>
        </w:tc>
        <w:tc>
          <w:tcPr>
            <w:tcW w:w="1672" w:type="dxa"/>
          </w:tcPr>
          <w:p w14:paraId="50CDB5E0" w14:textId="018456D2" w:rsidR="0028336A" w:rsidRPr="006B202E" w:rsidRDefault="0028336A" w:rsidP="0028336A">
            <w:pPr>
              <w:spacing w:line="256" w:lineRule="auto"/>
              <w:rPr>
                <w:rFonts w:cstheme="minorHAnsi"/>
              </w:rPr>
            </w:pPr>
            <w:r w:rsidRPr="006B202E">
              <w:rPr>
                <w:rFonts w:cstheme="minorHAnsi"/>
              </w:rPr>
              <w:t>MALE</w:t>
            </w:r>
          </w:p>
        </w:tc>
        <w:tc>
          <w:tcPr>
            <w:tcW w:w="2212" w:type="dxa"/>
          </w:tcPr>
          <w:p w14:paraId="7EC736ED" w14:textId="782371FD" w:rsidR="0028336A" w:rsidRPr="006B202E" w:rsidRDefault="0028336A" w:rsidP="0028336A">
            <w:pPr>
              <w:spacing w:line="256" w:lineRule="auto"/>
              <w:rPr>
                <w:rFonts w:cstheme="minorHAnsi"/>
              </w:rPr>
            </w:pPr>
            <w:r w:rsidRPr="006B202E">
              <w:rPr>
                <w:rFonts w:cstheme="minorHAnsi"/>
              </w:rPr>
              <w:t>Information géospatiale du SIG nationale</w:t>
            </w:r>
          </w:p>
        </w:tc>
        <w:tc>
          <w:tcPr>
            <w:tcW w:w="1701" w:type="dxa"/>
          </w:tcPr>
          <w:p w14:paraId="3B931929" w14:textId="069B67ED" w:rsidR="0028336A" w:rsidRPr="006B202E" w:rsidRDefault="0028336A" w:rsidP="0028336A">
            <w:pPr>
              <w:spacing w:line="256" w:lineRule="auto"/>
              <w:rPr>
                <w:rFonts w:cstheme="minorHAnsi"/>
              </w:rPr>
            </w:pPr>
            <w:r w:rsidRPr="006B202E">
              <w:rPr>
                <w:rFonts w:cstheme="minorHAnsi"/>
              </w:rPr>
              <w:t>Données en cours de collecte</w:t>
            </w:r>
          </w:p>
        </w:tc>
        <w:tc>
          <w:tcPr>
            <w:tcW w:w="2126" w:type="dxa"/>
          </w:tcPr>
          <w:p w14:paraId="15390580" w14:textId="5DD26301" w:rsidR="0028336A" w:rsidRPr="006B202E" w:rsidRDefault="0028336A" w:rsidP="0028336A">
            <w:pPr>
              <w:rPr>
                <w:rFonts w:cstheme="minorHAnsi"/>
              </w:rPr>
            </w:pPr>
            <w:r w:rsidRPr="006B202E">
              <w:rPr>
                <w:rFonts w:cstheme="minorHAnsi"/>
                <w:highlight w:val="green"/>
              </w:rPr>
              <w:t>Peut être publié à court terme</w:t>
            </w:r>
          </w:p>
        </w:tc>
      </w:tr>
      <w:tr w:rsidR="0028336A" w:rsidRPr="005217B7" w14:paraId="675CC233" w14:textId="77777777" w:rsidTr="00974263">
        <w:trPr>
          <w:trHeight w:val="262"/>
        </w:trPr>
        <w:tc>
          <w:tcPr>
            <w:tcW w:w="1928" w:type="dxa"/>
          </w:tcPr>
          <w:p w14:paraId="30384042" w14:textId="77777777" w:rsidR="0028336A" w:rsidRDefault="0028336A" w:rsidP="0028336A">
            <w:pPr>
              <w:spacing w:line="256" w:lineRule="auto"/>
            </w:pPr>
          </w:p>
        </w:tc>
        <w:tc>
          <w:tcPr>
            <w:tcW w:w="1672" w:type="dxa"/>
          </w:tcPr>
          <w:p w14:paraId="7905F7BE" w14:textId="6120D50A" w:rsidR="0028336A" w:rsidRPr="006B202E" w:rsidRDefault="0028336A" w:rsidP="0028336A">
            <w:pPr>
              <w:spacing w:line="256" w:lineRule="auto"/>
              <w:rPr>
                <w:rFonts w:cstheme="minorHAnsi"/>
              </w:rPr>
            </w:pPr>
            <w:r w:rsidRPr="006B202E">
              <w:rPr>
                <w:rFonts w:cstheme="minorHAnsi"/>
              </w:rPr>
              <w:t>MALE</w:t>
            </w:r>
          </w:p>
        </w:tc>
        <w:tc>
          <w:tcPr>
            <w:tcW w:w="2212" w:type="dxa"/>
          </w:tcPr>
          <w:p w14:paraId="74FE3712" w14:textId="473AB86C" w:rsidR="0028336A" w:rsidRPr="006B202E" w:rsidRDefault="0028336A" w:rsidP="0028336A">
            <w:pPr>
              <w:spacing w:line="256" w:lineRule="auto"/>
              <w:rPr>
                <w:rFonts w:cstheme="minorHAnsi"/>
              </w:rPr>
            </w:pPr>
            <w:r w:rsidRPr="006B202E">
              <w:rPr>
                <w:rFonts w:cstheme="minorHAnsi"/>
              </w:rPr>
              <w:t>Données environnementale</w:t>
            </w:r>
          </w:p>
        </w:tc>
        <w:tc>
          <w:tcPr>
            <w:tcW w:w="1701" w:type="dxa"/>
          </w:tcPr>
          <w:p w14:paraId="4D81931F" w14:textId="77777777" w:rsidR="0028336A" w:rsidRPr="006B202E" w:rsidRDefault="0028336A" w:rsidP="000C1986">
            <w:pPr>
              <w:spacing w:after="0" w:line="256" w:lineRule="auto"/>
              <w:rPr>
                <w:rFonts w:cstheme="minorHAnsi"/>
              </w:rPr>
            </w:pPr>
            <w:r w:rsidRPr="006B202E">
              <w:rPr>
                <w:rFonts w:cstheme="minorHAnsi"/>
              </w:rPr>
              <w:t>Données en cours de collecte</w:t>
            </w:r>
          </w:p>
          <w:p w14:paraId="5793A1E7" w14:textId="2B8FA31A" w:rsidR="0028336A" w:rsidRPr="006B202E" w:rsidRDefault="0028336A" w:rsidP="000C1986">
            <w:pPr>
              <w:spacing w:after="0" w:line="256" w:lineRule="auto"/>
              <w:rPr>
                <w:rFonts w:cstheme="minorHAnsi"/>
              </w:rPr>
            </w:pPr>
            <w:r w:rsidRPr="006B202E">
              <w:rPr>
                <w:rFonts w:cstheme="minorHAnsi"/>
              </w:rPr>
              <w:t>Engagement  6 du plan d’action OGP</w:t>
            </w:r>
          </w:p>
        </w:tc>
        <w:tc>
          <w:tcPr>
            <w:tcW w:w="2126" w:type="dxa"/>
          </w:tcPr>
          <w:p w14:paraId="55B6F834" w14:textId="6B2CF2A1" w:rsidR="0028336A" w:rsidRPr="006B202E" w:rsidRDefault="0028336A" w:rsidP="0028336A">
            <w:pPr>
              <w:rPr>
                <w:rFonts w:cstheme="minorHAnsi"/>
              </w:rPr>
            </w:pPr>
            <w:r w:rsidRPr="006B202E">
              <w:rPr>
                <w:rFonts w:cstheme="minorHAnsi"/>
                <w:highlight w:val="green"/>
              </w:rPr>
              <w:t>Peut être publié à court terme</w:t>
            </w:r>
          </w:p>
        </w:tc>
      </w:tr>
      <w:tr w:rsidR="0028336A" w:rsidRPr="005217B7" w14:paraId="0721D406" w14:textId="77777777" w:rsidTr="00974263">
        <w:trPr>
          <w:trHeight w:val="262"/>
        </w:trPr>
        <w:tc>
          <w:tcPr>
            <w:tcW w:w="1928" w:type="dxa"/>
          </w:tcPr>
          <w:p w14:paraId="1BD36C8A" w14:textId="77777777" w:rsidR="0028336A" w:rsidRDefault="0028336A" w:rsidP="0028336A">
            <w:pPr>
              <w:spacing w:line="256" w:lineRule="auto"/>
            </w:pPr>
          </w:p>
        </w:tc>
        <w:tc>
          <w:tcPr>
            <w:tcW w:w="1672" w:type="dxa"/>
          </w:tcPr>
          <w:p w14:paraId="18F7A2B5" w14:textId="6CA2A7A0" w:rsidR="0028336A" w:rsidRPr="006B202E" w:rsidRDefault="0028336A" w:rsidP="0028336A">
            <w:pPr>
              <w:spacing w:line="256" w:lineRule="auto"/>
              <w:rPr>
                <w:rFonts w:cstheme="minorHAnsi"/>
              </w:rPr>
            </w:pPr>
            <w:r w:rsidRPr="006B202E">
              <w:rPr>
                <w:rFonts w:cstheme="minorHAnsi"/>
              </w:rPr>
              <w:t>MALE</w:t>
            </w:r>
          </w:p>
        </w:tc>
        <w:tc>
          <w:tcPr>
            <w:tcW w:w="2212" w:type="dxa"/>
          </w:tcPr>
          <w:p w14:paraId="6F29B28C" w14:textId="1E52AB7B" w:rsidR="0028336A" w:rsidRPr="006B202E" w:rsidRDefault="0028336A" w:rsidP="0028336A">
            <w:pPr>
              <w:spacing w:line="256" w:lineRule="auto"/>
              <w:rPr>
                <w:rFonts w:cstheme="minorHAnsi"/>
              </w:rPr>
            </w:pPr>
            <w:r w:rsidRPr="006B202E">
              <w:rPr>
                <w:rFonts w:cstheme="minorHAnsi"/>
              </w:rPr>
              <w:t>Données des collectivités locales</w:t>
            </w:r>
          </w:p>
        </w:tc>
        <w:tc>
          <w:tcPr>
            <w:tcW w:w="1701" w:type="dxa"/>
          </w:tcPr>
          <w:p w14:paraId="2DB398ED" w14:textId="59873FE5" w:rsidR="0028336A" w:rsidRPr="006B202E" w:rsidRDefault="0028336A" w:rsidP="0028336A">
            <w:pPr>
              <w:spacing w:line="256" w:lineRule="auto"/>
              <w:rPr>
                <w:rFonts w:cstheme="minorHAnsi"/>
              </w:rPr>
            </w:pPr>
            <w:r w:rsidRPr="006B202E">
              <w:rPr>
                <w:rFonts w:cstheme="minorHAnsi"/>
              </w:rPr>
              <w:t>Engagement 4 du plan d’action OGP</w:t>
            </w:r>
          </w:p>
        </w:tc>
        <w:tc>
          <w:tcPr>
            <w:tcW w:w="2126" w:type="dxa"/>
          </w:tcPr>
          <w:p w14:paraId="18DC99AD" w14:textId="4BB16A87" w:rsidR="0028336A" w:rsidRPr="006B202E" w:rsidRDefault="0028336A" w:rsidP="000C1986">
            <w:pPr>
              <w:spacing w:after="120"/>
              <w:rPr>
                <w:rFonts w:cstheme="minorHAnsi"/>
                <w:highlight w:val="green"/>
              </w:rPr>
            </w:pPr>
            <w:r w:rsidRPr="006B202E">
              <w:rPr>
                <w:rFonts w:cstheme="minorHAnsi"/>
                <w:highlight w:val="green"/>
              </w:rPr>
              <w:t>Les données dont la publication est obligatoire par la loi d’accès à l’information pourraient être publiées à court termes</w:t>
            </w:r>
          </w:p>
          <w:p w14:paraId="5DFE7D82" w14:textId="3664FF74" w:rsidR="0028336A" w:rsidRPr="006B202E" w:rsidRDefault="0028336A" w:rsidP="000C1986">
            <w:pPr>
              <w:spacing w:after="0"/>
              <w:rPr>
                <w:rFonts w:cstheme="minorHAnsi"/>
                <w:highlight w:val="green"/>
              </w:rPr>
            </w:pPr>
            <w:r w:rsidRPr="006B202E">
              <w:rPr>
                <w:rFonts w:cstheme="minorHAnsi"/>
                <w:highlight w:val="red"/>
              </w:rPr>
              <w:t>Des publications plus larges seront possible à plus long terme</w:t>
            </w:r>
          </w:p>
        </w:tc>
      </w:tr>
      <w:tr w:rsidR="0028336A" w:rsidRPr="005217B7" w14:paraId="2C6BFAF8" w14:textId="77777777" w:rsidTr="00974263">
        <w:trPr>
          <w:trHeight w:val="262"/>
        </w:trPr>
        <w:tc>
          <w:tcPr>
            <w:tcW w:w="1928" w:type="dxa"/>
          </w:tcPr>
          <w:p w14:paraId="370FAA57" w14:textId="77777777" w:rsidR="0028336A" w:rsidRDefault="0028336A" w:rsidP="0028336A">
            <w:pPr>
              <w:spacing w:line="256" w:lineRule="auto"/>
            </w:pPr>
          </w:p>
        </w:tc>
        <w:tc>
          <w:tcPr>
            <w:tcW w:w="1672" w:type="dxa"/>
          </w:tcPr>
          <w:p w14:paraId="6F06AC09" w14:textId="7572F4F5" w:rsidR="0028336A" w:rsidRPr="006B202E" w:rsidRDefault="0028336A" w:rsidP="0028336A">
            <w:pPr>
              <w:spacing w:line="256" w:lineRule="auto"/>
              <w:rPr>
                <w:rFonts w:cstheme="minorHAnsi"/>
              </w:rPr>
            </w:pPr>
            <w:r w:rsidRPr="006B202E">
              <w:rPr>
                <w:rFonts w:cstheme="minorHAnsi"/>
              </w:rPr>
              <w:t>Ministère de l’éducation</w:t>
            </w:r>
          </w:p>
        </w:tc>
        <w:tc>
          <w:tcPr>
            <w:tcW w:w="2212" w:type="dxa"/>
          </w:tcPr>
          <w:p w14:paraId="78764C50" w14:textId="0FD6244A" w:rsidR="0028336A" w:rsidRPr="006B202E" w:rsidRDefault="005E077E" w:rsidP="0028336A">
            <w:pPr>
              <w:spacing w:line="256" w:lineRule="auto"/>
              <w:rPr>
                <w:rFonts w:cstheme="minorHAnsi"/>
              </w:rPr>
            </w:pPr>
            <w:r w:rsidRPr="006B202E">
              <w:rPr>
                <w:rFonts w:cstheme="minorHAnsi"/>
              </w:rPr>
              <w:t>Données</w:t>
            </w:r>
            <w:r w:rsidR="0028336A" w:rsidRPr="006B202E">
              <w:rPr>
                <w:rFonts w:cstheme="minorHAnsi"/>
              </w:rPr>
              <w:t xml:space="preserve"> sur les résultats scolaires et des concours</w:t>
            </w:r>
          </w:p>
          <w:p w14:paraId="6E02CCB4" w14:textId="72F63767" w:rsidR="0028336A" w:rsidRPr="006B202E" w:rsidRDefault="0028336A" w:rsidP="000C1986">
            <w:pPr>
              <w:spacing w:after="120" w:line="256" w:lineRule="auto"/>
              <w:rPr>
                <w:rFonts w:cstheme="minorHAnsi"/>
              </w:rPr>
            </w:pPr>
            <w:r w:rsidRPr="006B202E">
              <w:rPr>
                <w:rFonts w:cstheme="minorHAnsi"/>
              </w:rPr>
              <w:t>Données géospatiales comme l’emplacement des écoles</w:t>
            </w:r>
          </w:p>
        </w:tc>
        <w:tc>
          <w:tcPr>
            <w:tcW w:w="1701" w:type="dxa"/>
          </w:tcPr>
          <w:p w14:paraId="7C7403E8" w14:textId="56DBD9FF" w:rsidR="0028336A" w:rsidRPr="006B202E" w:rsidRDefault="002B4B2A" w:rsidP="000C1986">
            <w:pPr>
              <w:spacing w:after="0" w:line="256" w:lineRule="auto"/>
              <w:rPr>
                <w:rFonts w:cstheme="minorHAnsi"/>
              </w:rPr>
            </w:pPr>
            <w:r w:rsidRPr="006B202E">
              <w:rPr>
                <w:rFonts w:cstheme="minorHAnsi"/>
              </w:rPr>
              <w:t>Le mini</w:t>
            </w:r>
            <w:r w:rsidR="001715C4" w:rsidRPr="006B202E">
              <w:rPr>
                <w:rFonts w:cstheme="minorHAnsi"/>
              </w:rPr>
              <w:t>s</w:t>
            </w:r>
            <w:r w:rsidRPr="006B202E">
              <w:rPr>
                <w:rFonts w:cstheme="minorHAnsi"/>
              </w:rPr>
              <w:t xml:space="preserve">tère de l’Education est </w:t>
            </w:r>
            <w:r w:rsidR="00B7633E">
              <w:rPr>
                <w:rFonts w:cstheme="minorHAnsi"/>
              </w:rPr>
              <w:t>l’</w:t>
            </w:r>
            <w:r w:rsidRPr="006B202E">
              <w:rPr>
                <w:rFonts w:cstheme="minorHAnsi"/>
              </w:rPr>
              <w:t>un des ministères les moins ouverts sur la question des données ouvertes</w:t>
            </w:r>
          </w:p>
        </w:tc>
        <w:tc>
          <w:tcPr>
            <w:tcW w:w="2126" w:type="dxa"/>
          </w:tcPr>
          <w:p w14:paraId="09C6D87D" w14:textId="6000D39C" w:rsidR="0028336A" w:rsidRPr="006B202E" w:rsidRDefault="006B202E" w:rsidP="0028336A">
            <w:pPr>
              <w:rPr>
                <w:rFonts w:cstheme="minorHAnsi"/>
                <w:highlight w:val="green"/>
              </w:rPr>
            </w:pPr>
            <w:r w:rsidRPr="006B202E">
              <w:rPr>
                <w:rFonts w:cstheme="minorHAnsi"/>
                <w:highlight w:val="yellow"/>
              </w:rPr>
              <w:t>Possible à moyen terme</w:t>
            </w:r>
            <w:r w:rsidR="0028336A" w:rsidRPr="006B202E">
              <w:rPr>
                <w:rFonts w:cstheme="minorHAnsi"/>
                <w:highlight w:val="yellow"/>
              </w:rPr>
              <w:t xml:space="preserve"> après sensibilisation</w:t>
            </w:r>
          </w:p>
        </w:tc>
      </w:tr>
      <w:tr w:rsidR="002B4B2A" w:rsidRPr="005217B7" w14:paraId="378E05D7" w14:textId="77777777" w:rsidTr="00974263">
        <w:trPr>
          <w:trHeight w:val="262"/>
        </w:trPr>
        <w:tc>
          <w:tcPr>
            <w:tcW w:w="1928" w:type="dxa"/>
          </w:tcPr>
          <w:p w14:paraId="0F622B30" w14:textId="77777777" w:rsidR="002B4B2A" w:rsidRPr="006B202E" w:rsidRDefault="002B4B2A" w:rsidP="002B4B2A">
            <w:pPr>
              <w:spacing w:line="256" w:lineRule="auto"/>
            </w:pPr>
          </w:p>
        </w:tc>
        <w:tc>
          <w:tcPr>
            <w:tcW w:w="1672" w:type="dxa"/>
          </w:tcPr>
          <w:p w14:paraId="441F7C6C" w14:textId="703625EB" w:rsidR="002B4B2A" w:rsidRPr="006B202E" w:rsidRDefault="002B4B2A" w:rsidP="002B4B2A">
            <w:pPr>
              <w:spacing w:line="256" w:lineRule="auto"/>
              <w:rPr>
                <w:rFonts w:cstheme="minorHAnsi"/>
              </w:rPr>
            </w:pPr>
            <w:r w:rsidRPr="006B202E">
              <w:rPr>
                <w:rFonts w:cstheme="minorHAnsi"/>
              </w:rPr>
              <w:t>ONMP</w:t>
            </w:r>
          </w:p>
        </w:tc>
        <w:tc>
          <w:tcPr>
            <w:tcW w:w="2212" w:type="dxa"/>
          </w:tcPr>
          <w:p w14:paraId="06F5069E" w14:textId="1E7A96F9" w:rsidR="002B4B2A" w:rsidRPr="006B202E" w:rsidRDefault="002B4B2A" w:rsidP="002B4B2A">
            <w:pPr>
              <w:spacing w:line="256" w:lineRule="auto"/>
              <w:rPr>
                <w:rFonts w:cstheme="minorHAnsi"/>
              </w:rPr>
            </w:pPr>
            <w:r w:rsidRPr="006B202E">
              <w:rPr>
                <w:rFonts w:cstheme="minorHAnsi"/>
              </w:rPr>
              <w:t xml:space="preserve">Données sur les fournisseurs et leurs activités dans </w:t>
            </w:r>
            <w:r w:rsidR="00895E17">
              <w:rPr>
                <w:rFonts w:cstheme="minorHAnsi"/>
              </w:rPr>
              <w:t>l</w:t>
            </w:r>
            <w:r w:rsidRPr="006B202E">
              <w:rPr>
                <w:rFonts w:cstheme="minorHAnsi"/>
              </w:rPr>
              <w:t>es marchés</w:t>
            </w:r>
          </w:p>
        </w:tc>
        <w:tc>
          <w:tcPr>
            <w:tcW w:w="1701" w:type="dxa"/>
          </w:tcPr>
          <w:p w14:paraId="010B848A" w14:textId="5BA8CD72" w:rsidR="002B4B2A" w:rsidRPr="006B202E" w:rsidRDefault="002B4B2A" w:rsidP="002B4B2A">
            <w:pPr>
              <w:spacing w:line="256" w:lineRule="auto"/>
              <w:rPr>
                <w:rFonts w:cstheme="minorHAnsi"/>
              </w:rPr>
            </w:pPr>
            <w:r w:rsidRPr="006B202E">
              <w:rPr>
                <w:rFonts w:cstheme="minorHAnsi"/>
              </w:rPr>
              <w:t>Données disponibles et collectées, fourni</w:t>
            </w:r>
            <w:r w:rsidR="00B7633E">
              <w:rPr>
                <w:rFonts w:cstheme="minorHAnsi"/>
              </w:rPr>
              <w:t>es</w:t>
            </w:r>
            <w:r w:rsidRPr="006B202E">
              <w:rPr>
                <w:rFonts w:cstheme="minorHAnsi"/>
              </w:rPr>
              <w:t xml:space="preserve"> aux administrations sur demande mais non publiée</w:t>
            </w:r>
            <w:r w:rsidR="00B7633E">
              <w:rPr>
                <w:rFonts w:cstheme="minorHAnsi"/>
              </w:rPr>
              <w:t>s</w:t>
            </w:r>
          </w:p>
        </w:tc>
        <w:tc>
          <w:tcPr>
            <w:tcW w:w="2126" w:type="dxa"/>
          </w:tcPr>
          <w:p w14:paraId="31E84AE5" w14:textId="75DE731D" w:rsidR="002B4B2A" w:rsidRPr="006B202E" w:rsidRDefault="002B4B2A" w:rsidP="002B4B2A">
            <w:pPr>
              <w:rPr>
                <w:rFonts w:cstheme="minorHAnsi"/>
                <w:highlight w:val="yellow"/>
              </w:rPr>
            </w:pPr>
            <w:r w:rsidRPr="006B202E">
              <w:rPr>
                <w:rFonts w:cstheme="minorHAnsi"/>
                <w:highlight w:val="green"/>
              </w:rPr>
              <w:t>Peut être publié à court terme</w:t>
            </w:r>
          </w:p>
        </w:tc>
      </w:tr>
    </w:tbl>
    <w:p w14:paraId="50EC4ED4" w14:textId="0163272C" w:rsidR="00EC220A" w:rsidRDefault="00EC220A" w:rsidP="00EC220A">
      <w:pPr>
        <w:pStyle w:val="Titre1"/>
        <w:jc w:val="left"/>
      </w:pPr>
      <w:bookmarkStart w:id="46" w:name="_Toc496544793"/>
      <w:r>
        <w:t xml:space="preserve">Annexe D </w:t>
      </w:r>
      <w:r w:rsidR="005C39C6">
        <w:t>–</w:t>
      </w:r>
      <w:r>
        <w:t xml:space="preserve"> Inventaire</w:t>
      </w:r>
      <w:bookmarkEnd w:id="46"/>
    </w:p>
    <w:p w14:paraId="185FE5BE" w14:textId="217ED4B6" w:rsidR="005C39C6" w:rsidRDefault="005C39C6" w:rsidP="005C39C6">
      <w:pPr>
        <w:jc w:val="both"/>
        <w:rPr>
          <w:sz w:val="24"/>
        </w:rPr>
      </w:pPr>
      <w:r w:rsidRPr="005C39C6">
        <w:rPr>
          <w:sz w:val="24"/>
        </w:rPr>
        <w:t xml:space="preserve">L’inventaire de données est un </w:t>
      </w:r>
      <w:r>
        <w:rPr>
          <w:sz w:val="24"/>
        </w:rPr>
        <w:t>élément important de l’</w:t>
      </w:r>
      <w:r w:rsidR="004D3C2A">
        <w:rPr>
          <w:sz w:val="24"/>
        </w:rPr>
        <w:t>écosystème</w:t>
      </w:r>
      <w:r>
        <w:rPr>
          <w:sz w:val="24"/>
        </w:rPr>
        <w:t xml:space="preserve"> Open Data et un guide essentiel pour les producteurs de données. D’une part il permet de conna</w:t>
      </w:r>
      <w:r w:rsidR="000607BA">
        <w:rPr>
          <w:sz w:val="24"/>
        </w:rPr>
        <w:t>î</w:t>
      </w:r>
      <w:r>
        <w:rPr>
          <w:sz w:val="24"/>
        </w:rPr>
        <w:t>tre l’ensemble des jeux de données disponibles au sein d’une structure, ainsi que leurs niveaux de confidentialité et les traitements nécessaires à appliquer avant leur publication. D’autre part, il permet également de détecter les duplications d’efforts</w:t>
      </w:r>
      <w:r w:rsidR="004D3C2A">
        <w:rPr>
          <w:sz w:val="24"/>
        </w:rPr>
        <w:t xml:space="preserve"> dans la collecte de données</w:t>
      </w:r>
      <w:r>
        <w:rPr>
          <w:sz w:val="24"/>
        </w:rPr>
        <w:t xml:space="preserve"> entre les structures</w:t>
      </w:r>
      <w:r w:rsidR="000607BA">
        <w:rPr>
          <w:sz w:val="24"/>
        </w:rPr>
        <w:t>,</w:t>
      </w:r>
      <w:r>
        <w:rPr>
          <w:sz w:val="24"/>
        </w:rPr>
        <w:t xml:space="preserve"> et facilite </w:t>
      </w:r>
      <w:r w:rsidR="004D3C2A">
        <w:rPr>
          <w:sz w:val="24"/>
        </w:rPr>
        <w:t xml:space="preserve">donc </w:t>
      </w:r>
      <w:r>
        <w:rPr>
          <w:sz w:val="24"/>
        </w:rPr>
        <w:t>la réutilisation entre structures.</w:t>
      </w:r>
    </w:p>
    <w:p w14:paraId="2359B8A7" w14:textId="22684B3F" w:rsidR="004D3C2A" w:rsidRDefault="004D3C2A" w:rsidP="005C39C6">
      <w:pPr>
        <w:jc w:val="both"/>
        <w:rPr>
          <w:sz w:val="24"/>
        </w:rPr>
      </w:pPr>
      <w:r>
        <w:rPr>
          <w:sz w:val="24"/>
        </w:rPr>
        <w:t xml:space="preserve">La réalisation d’un inventaire complet est </w:t>
      </w:r>
      <w:r w:rsidR="005E077E">
        <w:rPr>
          <w:sz w:val="24"/>
        </w:rPr>
        <w:t>une tâche</w:t>
      </w:r>
      <w:r>
        <w:rPr>
          <w:sz w:val="24"/>
        </w:rPr>
        <w:t xml:space="preserve"> de grande envergure qui devrait être implémentée en plusieurs étapes. Dans un premier temps, une version initiale serait développée en partant de </w:t>
      </w:r>
      <w:r w:rsidR="00FE0743">
        <w:rPr>
          <w:sz w:val="24"/>
        </w:rPr>
        <w:t>l’existant et en incluant tous l</w:t>
      </w:r>
      <w:r>
        <w:rPr>
          <w:sz w:val="24"/>
        </w:rPr>
        <w:t>es ministères précurseurs. Pour cette première version, une méthodologie serait établie. Ensuite, chaque nouvelle structure rejoignant l’initiative d</w:t>
      </w:r>
      <w:r w:rsidR="00FE0743">
        <w:rPr>
          <w:sz w:val="24"/>
        </w:rPr>
        <w:t>’ouverture d</w:t>
      </w:r>
      <w:r>
        <w:rPr>
          <w:sz w:val="24"/>
        </w:rPr>
        <w:t>es données appliquerait la méthodologie défini</w:t>
      </w:r>
      <w:r w:rsidR="00FE0743">
        <w:rPr>
          <w:sz w:val="24"/>
        </w:rPr>
        <w:t>e</w:t>
      </w:r>
      <w:r>
        <w:rPr>
          <w:sz w:val="24"/>
        </w:rPr>
        <w:t>.</w:t>
      </w:r>
      <w:r w:rsidR="00FE0743">
        <w:rPr>
          <w:sz w:val="24"/>
        </w:rPr>
        <w:t xml:space="preserve"> Afin de démarrer le processus dans toutes les structures et ministères, il serait important, au travers du décret Open Data, de forcer toutes les entités à avoir un inventaire minimum contenant les données dont la publication est rendue obligatoire par la loi d’accès à l’information.  </w:t>
      </w:r>
    </w:p>
    <w:p w14:paraId="092F1EEB" w14:textId="61794C92" w:rsidR="00AC16C7" w:rsidRDefault="004D3C2A" w:rsidP="005C39C6">
      <w:pPr>
        <w:jc w:val="both"/>
        <w:rPr>
          <w:sz w:val="24"/>
        </w:rPr>
      </w:pPr>
      <w:r>
        <w:rPr>
          <w:sz w:val="24"/>
        </w:rPr>
        <w:t xml:space="preserve">Concernant la méthodologie, il faudra dans un premier temps définir un schéma directeur des </w:t>
      </w:r>
      <w:r w:rsidR="00895E17">
        <w:rPr>
          <w:sz w:val="24"/>
        </w:rPr>
        <w:t xml:space="preserve">données </w:t>
      </w:r>
      <w:r>
        <w:rPr>
          <w:sz w:val="24"/>
        </w:rPr>
        <w:t xml:space="preserve">à collecter (structure en charge, personne en charge, périodicité de la collecte, stockage, format, description, traitement à appliquer avant publication, niveau de confidentialité, </w:t>
      </w:r>
      <w:r w:rsidR="00AC16C7">
        <w:rPr>
          <w:sz w:val="24"/>
        </w:rPr>
        <w:t xml:space="preserve">lien vers les données publiées, </w:t>
      </w:r>
      <w:r>
        <w:rPr>
          <w:sz w:val="24"/>
        </w:rPr>
        <w:t>etc.). Une fois ce schéma établi, les informations pourront être collecté</w:t>
      </w:r>
      <w:r w:rsidR="00AC16C7">
        <w:rPr>
          <w:sz w:val="24"/>
        </w:rPr>
        <w:t xml:space="preserve">es.  </w:t>
      </w:r>
    </w:p>
    <w:p w14:paraId="5C2814B2" w14:textId="01185521" w:rsidR="00AC16C7" w:rsidRDefault="00AC16C7" w:rsidP="005C39C6">
      <w:pPr>
        <w:jc w:val="both"/>
        <w:rPr>
          <w:sz w:val="24"/>
        </w:rPr>
      </w:pPr>
      <w:r>
        <w:rPr>
          <w:sz w:val="24"/>
        </w:rPr>
        <w:t>Il conviendra d’adopter une démarche structurée pour identifier les jeux de données. Cette démarche devra au minimum inclure l’exploration des éléments suivant</w:t>
      </w:r>
      <w:r w:rsidR="000607BA">
        <w:rPr>
          <w:sz w:val="24"/>
        </w:rPr>
        <w:t>s</w:t>
      </w:r>
      <w:r>
        <w:rPr>
          <w:sz w:val="24"/>
        </w:rPr>
        <w:t> :</w:t>
      </w:r>
    </w:p>
    <w:p w14:paraId="02E77913" w14:textId="06CB7BD6" w:rsidR="00AC16C7" w:rsidRDefault="00AC16C7" w:rsidP="00D5699E">
      <w:pPr>
        <w:pStyle w:val="Paragraphedeliste"/>
        <w:numPr>
          <w:ilvl w:val="0"/>
          <w:numId w:val="120"/>
        </w:numPr>
        <w:jc w:val="both"/>
        <w:rPr>
          <w:sz w:val="24"/>
        </w:rPr>
      </w:pPr>
      <w:r>
        <w:rPr>
          <w:sz w:val="24"/>
        </w:rPr>
        <w:t>Le portail de données de la structure s’il existe et le portail national de l’UAE</w:t>
      </w:r>
    </w:p>
    <w:p w14:paraId="0536724A" w14:textId="3DA35500" w:rsidR="00AC16C7" w:rsidRDefault="00AC16C7" w:rsidP="00D5699E">
      <w:pPr>
        <w:pStyle w:val="Paragraphedeliste"/>
        <w:numPr>
          <w:ilvl w:val="0"/>
          <w:numId w:val="120"/>
        </w:numPr>
        <w:jc w:val="both"/>
        <w:rPr>
          <w:sz w:val="24"/>
        </w:rPr>
      </w:pPr>
      <w:r>
        <w:rPr>
          <w:sz w:val="24"/>
        </w:rPr>
        <w:t>Les sites Web de la structure</w:t>
      </w:r>
    </w:p>
    <w:p w14:paraId="3E00BD50" w14:textId="79509923" w:rsidR="00AC16C7" w:rsidRDefault="00AC16C7" w:rsidP="00D5699E">
      <w:pPr>
        <w:pStyle w:val="Paragraphedeliste"/>
        <w:numPr>
          <w:ilvl w:val="0"/>
          <w:numId w:val="120"/>
        </w:numPr>
        <w:jc w:val="both"/>
        <w:rPr>
          <w:sz w:val="24"/>
        </w:rPr>
      </w:pPr>
      <w:r>
        <w:rPr>
          <w:sz w:val="24"/>
        </w:rPr>
        <w:t>Les systèmes d’information s’il y en a</w:t>
      </w:r>
      <w:r w:rsidR="00FE0743">
        <w:rPr>
          <w:sz w:val="24"/>
        </w:rPr>
        <w:t xml:space="preserve"> </w:t>
      </w:r>
    </w:p>
    <w:p w14:paraId="240FCA2E" w14:textId="2023174F" w:rsidR="00FE0743" w:rsidRDefault="00FE0743" w:rsidP="00D5699E">
      <w:pPr>
        <w:pStyle w:val="Paragraphedeliste"/>
        <w:numPr>
          <w:ilvl w:val="0"/>
          <w:numId w:val="120"/>
        </w:numPr>
        <w:jc w:val="both"/>
        <w:rPr>
          <w:sz w:val="24"/>
        </w:rPr>
      </w:pPr>
      <w:r>
        <w:rPr>
          <w:sz w:val="24"/>
        </w:rPr>
        <w:t>Les observatoires associés à la structure s’il y en a : les observatoires ont pour mission de collecter un grand nombre de données pour construire leurs indicateurs</w:t>
      </w:r>
    </w:p>
    <w:p w14:paraId="7D41FF52" w14:textId="6AB74345" w:rsidR="00FE0743" w:rsidRPr="00AC16C7" w:rsidRDefault="00FE0743" w:rsidP="00D5699E">
      <w:pPr>
        <w:pStyle w:val="Paragraphedeliste"/>
        <w:numPr>
          <w:ilvl w:val="0"/>
          <w:numId w:val="120"/>
        </w:numPr>
        <w:jc w:val="both"/>
        <w:rPr>
          <w:sz w:val="24"/>
        </w:rPr>
      </w:pPr>
      <w:r>
        <w:rPr>
          <w:sz w:val="24"/>
        </w:rPr>
        <w:t>Les données fournies à l’INS</w:t>
      </w:r>
    </w:p>
    <w:p w14:paraId="442B96BE" w14:textId="66747F54" w:rsidR="004D3C2A" w:rsidRDefault="00AC16C7" w:rsidP="005C39C6">
      <w:pPr>
        <w:jc w:val="both"/>
        <w:rPr>
          <w:sz w:val="24"/>
        </w:rPr>
      </w:pPr>
      <w:r>
        <w:rPr>
          <w:sz w:val="24"/>
        </w:rPr>
        <w:t xml:space="preserve">A noter qu’il est presque impossible d’être exhaustif dans la liste des données collectées par une structure. La version initiale permet de fournir un premier aperçu. Ensuite, cette information sera complétée en fonction des demandes reçues de l’extérieur via les chargés d’accès à l’information ou les chargés d’Open Data. </w:t>
      </w:r>
    </w:p>
    <w:p w14:paraId="7970490F" w14:textId="6D69FF17" w:rsidR="00AC16C7" w:rsidRDefault="00AC16C7" w:rsidP="005C39C6">
      <w:pPr>
        <w:jc w:val="both"/>
        <w:rPr>
          <w:sz w:val="24"/>
        </w:rPr>
      </w:pPr>
      <w:r>
        <w:rPr>
          <w:sz w:val="24"/>
        </w:rPr>
        <w:t>Enfin, il est essentiel de noter qu’un inventaire est une information vivante qui évolue dans le temps. Certains jeux arrêtent d’être collecté</w:t>
      </w:r>
      <w:r w:rsidR="000607BA">
        <w:rPr>
          <w:sz w:val="24"/>
        </w:rPr>
        <w:t>s</w:t>
      </w:r>
      <w:r>
        <w:rPr>
          <w:sz w:val="24"/>
        </w:rPr>
        <w:t xml:space="preserve">, certains autres sont ajoutés. Si la réalisation de la version initiale de l’inventaire peut être externalisée,  </w:t>
      </w:r>
      <w:r w:rsidR="000607BA">
        <w:rPr>
          <w:sz w:val="24"/>
        </w:rPr>
        <w:t>i</w:t>
      </w:r>
      <w:r>
        <w:rPr>
          <w:sz w:val="24"/>
        </w:rPr>
        <w:t xml:space="preserve">l sera important pour la pérennité de cette information que dans chaque ministère, une personne soit en charge de sa gestion et de sa maintenance. Cette personne pourra être soit le Directeur des Systèmes d’Information s’il existe, soit le chargé d’accès à l’information, soit le chargé de l’Open Data. </w:t>
      </w:r>
    </w:p>
    <w:p w14:paraId="0B24D0D5" w14:textId="77777777" w:rsidR="00A479CD" w:rsidRDefault="00A479CD">
      <w:pPr>
        <w:rPr>
          <w:rFonts w:asciiTheme="majorHAnsi" w:eastAsiaTheme="majorEastAsia" w:hAnsiTheme="majorHAnsi" w:cstheme="majorBidi"/>
          <w:b/>
          <w:bCs/>
          <w:caps/>
          <w:color w:val="FFFFFF" w:themeColor="background1"/>
          <w:sz w:val="28"/>
          <w:szCs w:val="28"/>
        </w:rPr>
      </w:pPr>
      <w:r>
        <w:br w:type="page"/>
      </w:r>
    </w:p>
    <w:p w14:paraId="166BF724" w14:textId="4916032C" w:rsidR="00D14C07" w:rsidRPr="00073406" w:rsidRDefault="003A1B05" w:rsidP="001B6DD5">
      <w:pPr>
        <w:pStyle w:val="Titre1"/>
        <w:jc w:val="left"/>
      </w:pPr>
      <w:bookmarkStart w:id="47" w:name="_Toc496544794"/>
      <w:r w:rsidRPr="00073406">
        <w:t>Annexe</w:t>
      </w:r>
      <w:r w:rsidR="00D14C07" w:rsidRPr="00073406">
        <w:t xml:space="preserve"> E – Introduction à l’Open Data</w:t>
      </w:r>
      <w:bookmarkEnd w:id="47"/>
    </w:p>
    <w:p w14:paraId="6064A645" w14:textId="71109DBB" w:rsidR="00D14C07" w:rsidRDefault="00D14C07" w:rsidP="001B6DD5">
      <w:r w:rsidRPr="001B6DD5">
        <w:t xml:space="preserve">Présentation </w:t>
      </w:r>
      <w:r w:rsidRPr="00D14C07">
        <w:t>faite</w:t>
      </w:r>
      <w:r w:rsidRPr="001B6DD5">
        <w:t xml:space="preserve"> lors de l’atelier du 26 </w:t>
      </w:r>
      <w:r w:rsidRPr="00D14C07">
        <w:t>Septembre</w:t>
      </w:r>
      <w:r w:rsidRPr="001B6DD5">
        <w:t xml:space="preserve"> 2017</w:t>
      </w:r>
    </w:p>
    <w:p w14:paraId="257FF570" w14:textId="6C2274E5" w:rsidR="00D14C07" w:rsidRDefault="00D14C07" w:rsidP="001B6DD5">
      <w:r w:rsidRPr="00D14C07">
        <w:rPr>
          <w:noProof/>
          <w:lang w:eastAsia="fr-FR"/>
        </w:rPr>
        <w:drawing>
          <wp:inline distT="0" distB="0" distL="0" distR="0" wp14:anchorId="0347EF15" wp14:editId="79AB9D1E">
            <wp:extent cx="4572396" cy="3429297"/>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572396" cy="3429297"/>
                    </a:xfrm>
                    <a:prstGeom prst="rect">
                      <a:avLst/>
                    </a:prstGeom>
                  </pic:spPr>
                </pic:pic>
              </a:graphicData>
            </a:graphic>
          </wp:inline>
        </w:drawing>
      </w:r>
    </w:p>
    <w:p w14:paraId="00EB5EC5" w14:textId="2AD73FE6" w:rsidR="00D14C07" w:rsidRDefault="00D14C07" w:rsidP="001B6DD5">
      <w:r w:rsidRPr="00D14C07">
        <w:rPr>
          <w:noProof/>
          <w:lang w:eastAsia="fr-FR"/>
        </w:rPr>
        <w:drawing>
          <wp:inline distT="0" distB="0" distL="0" distR="0" wp14:anchorId="63A5E2C5" wp14:editId="6DF97CB3">
            <wp:extent cx="4572396" cy="3429297"/>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572396" cy="3429297"/>
                    </a:xfrm>
                    <a:prstGeom prst="rect">
                      <a:avLst/>
                    </a:prstGeom>
                  </pic:spPr>
                </pic:pic>
              </a:graphicData>
            </a:graphic>
          </wp:inline>
        </w:drawing>
      </w:r>
    </w:p>
    <w:p w14:paraId="1EBB1467" w14:textId="0132F45F" w:rsidR="00D14C07" w:rsidRDefault="00D14C07" w:rsidP="001B6DD5">
      <w:r w:rsidRPr="00D14C07">
        <w:rPr>
          <w:noProof/>
          <w:lang w:eastAsia="fr-FR"/>
        </w:rPr>
        <w:drawing>
          <wp:inline distT="0" distB="0" distL="0" distR="0" wp14:anchorId="6F3CF22D" wp14:editId="1023A39C">
            <wp:extent cx="4572396" cy="3429297"/>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572396" cy="3429297"/>
                    </a:xfrm>
                    <a:prstGeom prst="rect">
                      <a:avLst/>
                    </a:prstGeom>
                  </pic:spPr>
                </pic:pic>
              </a:graphicData>
            </a:graphic>
          </wp:inline>
        </w:drawing>
      </w:r>
    </w:p>
    <w:p w14:paraId="1AD58095" w14:textId="0AA9EA4F" w:rsidR="00D14C07" w:rsidRDefault="00D14C07" w:rsidP="001B6DD5">
      <w:r w:rsidRPr="00D14C07">
        <w:rPr>
          <w:noProof/>
          <w:lang w:eastAsia="fr-FR"/>
        </w:rPr>
        <w:drawing>
          <wp:inline distT="0" distB="0" distL="0" distR="0" wp14:anchorId="67E59F72" wp14:editId="6F22CA14">
            <wp:extent cx="4572396" cy="3429297"/>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572396" cy="3429297"/>
                    </a:xfrm>
                    <a:prstGeom prst="rect">
                      <a:avLst/>
                    </a:prstGeom>
                  </pic:spPr>
                </pic:pic>
              </a:graphicData>
            </a:graphic>
          </wp:inline>
        </w:drawing>
      </w:r>
    </w:p>
    <w:p w14:paraId="338E99E3" w14:textId="08A610FD" w:rsidR="00D14C07" w:rsidRDefault="00D14C07" w:rsidP="001B6DD5">
      <w:r w:rsidRPr="00D14C07">
        <w:rPr>
          <w:noProof/>
          <w:lang w:eastAsia="fr-FR"/>
        </w:rPr>
        <w:drawing>
          <wp:inline distT="0" distB="0" distL="0" distR="0" wp14:anchorId="30246E6F" wp14:editId="00AD64C1">
            <wp:extent cx="4572396" cy="3429297"/>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572396" cy="3429297"/>
                    </a:xfrm>
                    <a:prstGeom prst="rect">
                      <a:avLst/>
                    </a:prstGeom>
                  </pic:spPr>
                </pic:pic>
              </a:graphicData>
            </a:graphic>
          </wp:inline>
        </w:drawing>
      </w:r>
    </w:p>
    <w:p w14:paraId="65E65C4D" w14:textId="0E63D45F" w:rsidR="00D14C07" w:rsidRDefault="00D14C07" w:rsidP="001B6DD5">
      <w:r w:rsidRPr="00D14C07">
        <w:rPr>
          <w:noProof/>
          <w:lang w:eastAsia="fr-FR"/>
        </w:rPr>
        <w:drawing>
          <wp:inline distT="0" distB="0" distL="0" distR="0" wp14:anchorId="3435A7FC" wp14:editId="097A38A8">
            <wp:extent cx="4572396" cy="3429297"/>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572396" cy="3429297"/>
                    </a:xfrm>
                    <a:prstGeom prst="rect">
                      <a:avLst/>
                    </a:prstGeom>
                  </pic:spPr>
                </pic:pic>
              </a:graphicData>
            </a:graphic>
          </wp:inline>
        </w:drawing>
      </w:r>
    </w:p>
    <w:p w14:paraId="26D6E873" w14:textId="4029C0FF" w:rsidR="00D14C07" w:rsidRDefault="00D14C07" w:rsidP="001B6DD5">
      <w:r w:rsidRPr="00D14C07">
        <w:rPr>
          <w:noProof/>
          <w:lang w:eastAsia="fr-FR"/>
        </w:rPr>
        <w:drawing>
          <wp:inline distT="0" distB="0" distL="0" distR="0" wp14:anchorId="739202CF" wp14:editId="4382A853">
            <wp:extent cx="4572396" cy="3429297"/>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572396" cy="3429297"/>
                    </a:xfrm>
                    <a:prstGeom prst="rect">
                      <a:avLst/>
                    </a:prstGeom>
                  </pic:spPr>
                </pic:pic>
              </a:graphicData>
            </a:graphic>
          </wp:inline>
        </w:drawing>
      </w:r>
    </w:p>
    <w:p w14:paraId="1CDDBE92" w14:textId="56BC4735" w:rsidR="00D14C07" w:rsidRDefault="00D14C07" w:rsidP="001B6DD5">
      <w:r w:rsidRPr="00D14C07">
        <w:rPr>
          <w:noProof/>
          <w:lang w:eastAsia="fr-FR"/>
        </w:rPr>
        <w:drawing>
          <wp:inline distT="0" distB="0" distL="0" distR="0" wp14:anchorId="779CB8ED" wp14:editId="526F5D33">
            <wp:extent cx="4572396" cy="3429297"/>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572396" cy="3429297"/>
                    </a:xfrm>
                    <a:prstGeom prst="rect">
                      <a:avLst/>
                    </a:prstGeom>
                  </pic:spPr>
                </pic:pic>
              </a:graphicData>
            </a:graphic>
          </wp:inline>
        </w:drawing>
      </w:r>
    </w:p>
    <w:p w14:paraId="10049B6B" w14:textId="0E0E0A03" w:rsidR="00D14C07" w:rsidRDefault="00D14C07" w:rsidP="001B6DD5">
      <w:r w:rsidRPr="00D14C07">
        <w:rPr>
          <w:noProof/>
          <w:lang w:eastAsia="fr-FR"/>
        </w:rPr>
        <w:drawing>
          <wp:inline distT="0" distB="0" distL="0" distR="0" wp14:anchorId="27B340A0" wp14:editId="22C2F76B">
            <wp:extent cx="4572396" cy="3429297"/>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572396" cy="3429297"/>
                    </a:xfrm>
                    <a:prstGeom prst="rect">
                      <a:avLst/>
                    </a:prstGeom>
                  </pic:spPr>
                </pic:pic>
              </a:graphicData>
            </a:graphic>
          </wp:inline>
        </w:drawing>
      </w:r>
    </w:p>
    <w:p w14:paraId="4BA2CBB6" w14:textId="069482B9" w:rsidR="00D14C07" w:rsidRDefault="00D14C07" w:rsidP="001B6DD5">
      <w:r w:rsidRPr="00D14C07">
        <w:rPr>
          <w:noProof/>
          <w:lang w:eastAsia="fr-FR"/>
        </w:rPr>
        <w:drawing>
          <wp:inline distT="0" distB="0" distL="0" distR="0" wp14:anchorId="1D5D537B" wp14:editId="20585BAB">
            <wp:extent cx="4572396" cy="3429297"/>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572396" cy="3429297"/>
                    </a:xfrm>
                    <a:prstGeom prst="rect">
                      <a:avLst/>
                    </a:prstGeom>
                  </pic:spPr>
                </pic:pic>
              </a:graphicData>
            </a:graphic>
          </wp:inline>
        </w:drawing>
      </w:r>
    </w:p>
    <w:p w14:paraId="0A67A7E3" w14:textId="48B716CF" w:rsidR="00D14C07" w:rsidRDefault="00D14C07" w:rsidP="001B6DD5">
      <w:r w:rsidRPr="00D14C07">
        <w:rPr>
          <w:noProof/>
          <w:lang w:eastAsia="fr-FR"/>
        </w:rPr>
        <w:drawing>
          <wp:inline distT="0" distB="0" distL="0" distR="0" wp14:anchorId="0722231E" wp14:editId="43A9FA15">
            <wp:extent cx="4572396" cy="3429297"/>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572396" cy="3429297"/>
                    </a:xfrm>
                    <a:prstGeom prst="rect">
                      <a:avLst/>
                    </a:prstGeom>
                  </pic:spPr>
                </pic:pic>
              </a:graphicData>
            </a:graphic>
          </wp:inline>
        </w:drawing>
      </w:r>
    </w:p>
    <w:p w14:paraId="32F2EFEC" w14:textId="3F17A64C" w:rsidR="00D14C07" w:rsidRDefault="00D14C07" w:rsidP="001B6DD5">
      <w:r w:rsidRPr="00D14C07">
        <w:rPr>
          <w:noProof/>
          <w:lang w:eastAsia="fr-FR"/>
        </w:rPr>
        <w:drawing>
          <wp:inline distT="0" distB="0" distL="0" distR="0" wp14:anchorId="5EFF5092" wp14:editId="03C2E4A8">
            <wp:extent cx="4572396" cy="3429297"/>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572396" cy="3429297"/>
                    </a:xfrm>
                    <a:prstGeom prst="rect">
                      <a:avLst/>
                    </a:prstGeom>
                  </pic:spPr>
                </pic:pic>
              </a:graphicData>
            </a:graphic>
          </wp:inline>
        </w:drawing>
      </w:r>
    </w:p>
    <w:p w14:paraId="095377F9" w14:textId="176443D6" w:rsidR="00D14C07" w:rsidRDefault="00D14C07" w:rsidP="001B6DD5">
      <w:r w:rsidRPr="00D14C07">
        <w:rPr>
          <w:noProof/>
          <w:lang w:eastAsia="fr-FR"/>
        </w:rPr>
        <w:drawing>
          <wp:inline distT="0" distB="0" distL="0" distR="0" wp14:anchorId="719DF49B" wp14:editId="53BDD837">
            <wp:extent cx="4572396" cy="3429297"/>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572396" cy="3429297"/>
                    </a:xfrm>
                    <a:prstGeom prst="rect">
                      <a:avLst/>
                    </a:prstGeom>
                  </pic:spPr>
                </pic:pic>
              </a:graphicData>
            </a:graphic>
          </wp:inline>
        </w:drawing>
      </w:r>
    </w:p>
    <w:p w14:paraId="7C8B2CA0" w14:textId="79756223" w:rsidR="00D14C07" w:rsidRPr="00D14C07" w:rsidRDefault="00D14C07" w:rsidP="001B6DD5">
      <w:r w:rsidRPr="00D14C07">
        <w:rPr>
          <w:noProof/>
          <w:lang w:eastAsia="fr-FR"/>
        </w:rPr>
        <w:drawing>
          <wp:inline distT="0" distB="0" distL="0" distR="0" wp14:anchorId="2CC0C870" wp14:editId="7AD6425B">
            <wp:extent cx="4572396" cy="3429297"/>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572396" cy="3429297"/>
                    </a:xfrm>
                    <a:prstGeom prst="rect">
                      <a:avLst/>
                    </a:prstGeom>
                  </pic:spPr>
                </pic:pic>
              </a:graphicData>
            </a:graphic>
          </wp:inline>
        </w:drawing>
      </w:r>
      <w:r w:rsidRPr="00D14C07">
        <w:rPr>
          <w:noProof/>
          <w:lang w:eastAsia="fr-FR"/>
        </w:rPr>
        <w:drawing>
          <wp:inline distT="0" distB="0" distL="0" distR="0" wp14:anchorId="600FDB8D" wp14:editId="5B669812">
            <wp:extent cx="4572396" cy="3429297"/>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572396" cy="3429297"/>
                    </a:xfrm>
                    <a:prstGeom prst="rect">
                      <a:avLst/>
                    </a:prstGeom>
                  </pic:spPr>
                </pic:pic>
              </a:graphicData>
            </a:graphic>
          </wp:inline>
        </w:drawing>
      </w:r>
      <w:r w:rsidRPr="00D14C07">
        <w:rPr>
          <w:noProof/>
          <w:lang w:eastAsia="fr-FR"/>
        </w:rPr>
        <w:drawing>
          <wp:inline distT="0" distB="0" distL="0" distR="0" wp14:anchorId="15F5E747" wp14:editId="15B64019">
            <wp:extent cx="4572396" cy="3429297"/>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572396" cy="3429297"/>
                    </a:xfrm>
                    <a:prstGeom prst="rect">
                      <a:avLst/>
                    </a:prstGeom>
                  </pic:spPr>
                </pic:pic>
              </a:graphicData>
            </a:graphic>
          </wp:inline>
        </w:drawing>
      </w:r>
      <w:r w:rsidRPr="00D14C07">
        <w:rPr>
          <w:noProof/>
          <w:lang w:eastAsia="fr-FR"/>
        </w:rPr>
        <w:drawing>
          <wp:inline distT="0" distB="0" distL="0" distR="0" wp14:anchorId="0E5FC9D9" wp14:editId="0BCF355E">
            <wp:extent cx="4572396" cy="3429297"/>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572396" cy="3429297"/>
                    </a:xfrm>
                    <a:prstGeom prst="rect">
                      <a:avLst/>
                    </a:prstGeom>
                  </pic:spPr>
                </pic:pic>
              </a:graphicData>
            </a:graphic>
          </wp:inline>
        </w:drawing>
      </w:r>
      <w:r w:rsidRPr="00D14C07">
        <w:rPr>
          <w:noProof/>
          <w:lang w:eastAsia="fr-FR"/>
        </w:rPr>
        <w:drawing>
          <wp:inline distT="0" distB="0" distL="0" distR="0" wp14:anchorId="01290758" wp14:editId="1E0B6947">
            <wp:extent cx="4572396" cy="3429297"/>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572396" cy="3429297"/>
                    </a:xfrm>
                    <a:prstGeom prst="rect">
                      <a:avLst/>
                    </a:prstGeom>
                  </pic:spPr>
                </pic:pic>
              </a:graphicData>
            </a:graphic>
          </wp:inline>
        </w:drawing>
      </w:r>
      <w:r w:rsidRPr="00D14C07">
        <w:rPr>
          <w:noProof/>
          <w:lang w:eastAsia="fr-FR"/>
        </w:rPr>
        <w:drawing>
          <wp:inline distT="0" distB="0" distL="0" distR="0" wp14:anchorId="4733C543" wp14:editId="282386CA">
            <wp:extent cx="4572396" cy="3429297"/>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572396" cy="3429297"/>
                    </a:xfrm>
                    <a:prstGeom prst="rect">
                      <a:avLst/>
                    </a:prstGeom>
                  </pic:spPr>
                </pic:pic>
              </a:graphicData>
            </a:graphic>
          </wp:inline>
        </w:drawing>
      </w:r>
      <w:r w:rsidRPr="00D14C07">
        <w:rPr>
          <w:noProof/>
          <w:lang w:eastAsia="fr-FR"/>
        </w:rPr>
        <w:drawing>
          <wp:inline distT="0" distB="0" distL="0" distR="0" wp14:anchorId="5224C50D" wp14:editId="67A85518">
            <wp:extent cx="4572396" cy="3429297"/>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572396" cy="3429297"/>
                    </a:xfrm>
                    <a:prstGeom prst="rect">
                      <a:avLst/>
                    </a:prstGeom>
                  </pic:spPr>
                </pic:pic>
              </a:graphicData>
            </a:graphic>
          </wp:inline>
        </w:drawing>
      </w:r>
      <w:r w:rsidRPr="00D14C07">
        <w:rPr>
          <w:noProof/>
          <w:lang w:eastAsia="fr-FR"/>
        </w:rPr>
        <w:drawing>
          <wp:inline distT="0" distB="0" distL="0" distR="0" wp14:anchorId="5850703C" wp14:editId="20EE8BFC">
            <wp:extent cx="4572396" cy="3429297"/>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572396" cy="3429297"/>
                    </a:xfrm>
                    <a:prstGeom prst="rect">
                      <a:avLst/>
                    </a:prstGeom>
                  </pic:spPr>
                </pic:pic>
              </a:graphicData>
            </a:graphic>
          </wp:inline>
        </w:drawing>
      </w:r>
      <w:r w:rsidRPr="00D14C07">
        <w:rPr>
          <w:noProof/>
          <w:lang w:eastAsia="fr-FR"/>
        </w:rPr>
        <w:drawing>
          <wp:inline distT="0" distB="0" distL="0" distR="0" wp14:anchorId="01E60AF8" wp14:editId="713F6FE8">
            <wp:extent cx="4572396" cy="3429297"/>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572396" cy="3429297"/>
                    </a:xfrm>
                    <a:prstGeom prst="rect">
                      <a:avLst/>
                    </a:prstGeom>
                  </pic:spPr>
                </pic:pic>
              </a:graphicData>
            </a:graphic>
          </wp:inline>
        </w:drawing>
      </w:r>
      <w:r w:rsidRPr="00D14C07">
        <w:rPr>
          <w:noProof/>
          <w:lang w:eastAsia="fr-FR"/>
        </w:rPr>
        <w:drawing>
          <wp:inline distT="0" distB="0" distL="0" distR="0" wp14:anchorId="180E0377" wp14:editId="6CA7B98E">
            <wp:extent cx="4572396" cy="3429297"/>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572396" cy="3429297"/>
                    </a:xfrm>
                    <a:prstGeom prst="rect">
                      <a:avLst/>
                    </a:prstGeom>
                  </pic:spPr>
                </pic:pic>
              </a:graphicData>
            </a:graphic>
          </wp:inline>
        </w:drawing>
      </w:r>
      <w:r w:rsidRPr="00D14C07">
        <w:rPr>
          <w:noProof/>
          <w:lang w:eastAsia="fr-FR"/>
        </w:rPr>
        <w:drawing>
          <wp:inline distT="0" distB="0" distL="0" distR="0" wp14:anchorId="6B30D32E" wp14:editId="4B228073">
            <wp:extent cx="4572396" cy="3429297"/>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572396" cy="3429297"/>
                    </a:xfrm>
                    <a:prstGeom prst="rect">
                      <a:avLst/>
                    </a:prstGeom>
                  </pic:spPr>
                </pic:pic>
              </a:graphicData>
            </a:graphic>
          </wp:inline>
        </w:drawing>
      </w:r>
      <w:r w:rsidRPr="00D14C07">
        <w:rPr>
          <w:noProof/>
          <w:lang w:eastAsia="fr-FR"/>
        </w:rPr>
        <w:drawing>
          <wp:inline distT="0" distB="0" distL="0" distR="0" wp14:anchorId="1D2E65FB" wp14:editId="180B1FEF">
            <wp:extent cx="4572396" cy="3429297"/>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572396" cy="3429297"/>
                    </a:xfrm>
                    <a:prstGeom prst="rect">
                      <a:avLst/>
                    </a:prstGeom>
                  </pic:spPr>
                </pic:pic>
              </a:graphicData>
            </a:graphic>
          </wp:inline>
        </w:drawing>
      </w:r>
      <w:r w:rsidRPr="00D14C07">
        <w:rPr>
          <w:noProof/>
          <w:lang w:eastAsia="fr-FR"/>
        </w:rPr>
        <w:drawing>
          <wp:inline distT="0" distB="0" distL="0" distR="0" wp14:anchorId="73DD599D" wp14:editId="0DC3C59D">
            <wp:extent cx="4572396" cy="3429297"/>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572396" cy="3429297"/>
                    </a:xfrm>
                    <a:prstGeom prst="rect">
                      <a:avLst/>
                    </a:prstGeom>
                  </pic:spPr>
                </pic:pic>
              </a:graphicData>
            </a:graphic>
          </wp:inline>
        </w:drawing>
      </w:r>
      <w:r w:rsidRPr="00D14C07">
        <w:rPr>
          <w:noProof/>
          <w:lang w:eastAsia="fr-FR"/>
        </w:rPr>
        <w:drawing>
          <wp:inline distT="0" distB="0" distL="0" distR="0" wp14:anchorId="11A950D6" wp14:editId="278EE8B3">
            <wp:extent cx="4572396" cy="3429297"/>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572396" cy="3429297"/>
                    </a:xfrm>
                    <a:prstGeom prst="rect">
                      <a:avLst/>
                    </a:prstGeom>
                  </pic:spPr>
                </pic:pic>
              </a:graphicData>
            </a:graphic>
          </wp:inline>
        </w:drawing>
      </w:r>
      <w:r w:rsidRPr="00D14C07">
        <w:rPr>
          <w:noProof/>
          <w:lang w:eastAsia="fr-FR"/>
        </w:rPr>
        <w:drawing>
          <wp:inline distT="0" distB="0" distL="0" distR="0" wp14:anchorId="35C5878B" wp14:editId="75EDA8FF">
            <wp:extent cx="4572396" cy="3429297"/>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572396" cy="3429297"/>
                    </a:xfrm>
                    <a:prstGeom prst="rect">
                      <a:avLst/>
                    </a:prstGeom>
                  </pic:spPr>
                </pic:pic>
              </a:graphicData>
            </a:graphic>
          </wp:inline>
        </w:drawing>
      </w:r>
      <w:r w:rsidRPr="00D14C07">
        <w:rPr>
          <w:noProof/>
          <w:lang w:eastAsia="fr-FR"/>
        </w:rPr>
        <w:drawing>
          <wp:inline distT="0" distB="0" distL="0" distR="0" wp14:anchorId="2742BED8" wp14:editId="46A02E20">
            <wp:extent cx="4572396" cy="3429297"/>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572396" cy="3429297"/>
                    </a:xfrm>
                    <a:prstGeom prst="rect">
                      <a:avLst/>
                    </a:prstGeom>
                  </pic:spPr>
                </pic:pic>
              </a:graphicData>
            </a:graphic>
          </wp:inline>
        </w:drawing>
      </w:r>
    </w:p>
    <w:sectPr w:rsidR="00D14C07" w:rsidRPr="00D14C07" w:rsidSect="008D489C">
      <w:headerReference w:type="even" r:id="rId99"/>
      <w:headerReference w:type="default" r:id="rId100"/>
      <w:footerReference w:type="default" r:id="rId101"/>
      <w:headerReference w:type="first" r:id="rId102"/>
      <w:footerReference w:type="first" r:id="rId103"/>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B9708A" w14:textId="77777777" w:rsidR="00E8606D" w:rsidRDefault="00E8606D" w:rsidP="00FA1BB6">
      <w:pPr>
        <w:spacing w:after="0" w:line="240" w:lineRule="auto"/>
      </w:pPr>
      <w:r>
        <w:separator/>
      </w:r>
    </w:p>
  </w:endnote>
  <w:endnote w:type="continuationSeparator" w:id="0">
    <w:p w14:paraId="38EC6F08" w14:textId="77777777" w:rsidR="00E8606D" w:rsidRDefault="00E8606D" w:rsidP="00FA1B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altName w:val="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482741" w14:textId="77777777" w:rsidR="00F80BE2" w:rsidRDefault="00F80BE2">
    <w:pPr>
      <w:pStyle w:val="Pieddepag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8165"/>
      <w:gridCol w:w="907"/>
    </w:tblGrid>
    <w:tr w:rsidR="008A2E32" w14:paraId="68FBAD84" w14:textId="77777777" w:rsidTr="00363876">
      <w:tc>
        <w:tcPr>
          <w:tcW w:w="4500" w:type="pct"/>
          <w:tcBorders>
            <w:top w:val="single" w:sz="4" w:space="0" w:color="000000" w:themeColor="text1"/>
          </w:tcBorders>
        </w:tcPr>
        <w:p w14:paraId="7BAE2CE0" w14:textId="3D08BA1B" w:rsidR="008A2E32" w:rsidRPr="00704FAB" w:rsidRDefault="00E8606D" w:rsidP="00862299">
          <w:pPr>
            <w:pStyle w:val="Pieddepage"/>
            <w:spacing w:before="120"/>
            <w:rPr>
              <w:sz w:val="18"/>
            </w:rPr>
          </w:pPr>
          <w:sdt>
            <w:sdtPr>
              <w:rPr>
                <w:sz w:val="18"/>
              </w:rPr>
              <w:alias w:val="Société"/>
              <w:id w:val="75971759"/>
              <w:dataBinding w:prefixMappings="xmlns:ns0='http://schemas.openxmlformats.org/officeDocument/2006/extended-properties'" w:xpath="/ns0:Properties[1]/ns0:Company[1]" w:storeItemID="{6668398D-A668-4E3E-A5EB-62B293D839F1}"/>
              <w:text/>
            </w:sdtPr>
            <w:sdtEndPr/>
            <w:sdtContent>
              <w:r w:rsidR="008A2E32">
                <w:rPr>
                  <w:sz w:val="18"/>
                </w:rPr>
                <w:t>Etat de Préparation de la République Tunisienne en vue d’une initiative d’ouverture des données publiques</w:t>
              </w:r>
            </w:sdtContent>
          </w:sdt>
          <w:r w:rsidR="008A2E32" w:rsidRPr="00704FAB">
            <w:rPr>
              <w:sz w:val="18"/>
            </w:rPr>
            <w:t xml:space="preserve"> | </w:t>
          </w:r>
          <w:r w:rsidR="008A2E32" w:rsidRPr="00704FAB">
            <w:rPr>
              <w:sz w:val="18"/>
            </w:rPr>
            <w:fldChar w:fldCharType="begin"/>
          </w:r>
          <w:r w:rsidR="008A2E32" w:rsidRPr="00704FAB">
            <w:rPr>
              <w:sz w:val="18"/>
            </w:rPr>
            <w:instrText xml:space="preserve"> STYLEREF  "1"  </w:instrText>
          </w:r>
          <w:r w:rsidR="008A2E32" w:rsidRPr="00704FAB">
            <w:rPr>
              <w:sz w:val="18"/>
            </w:rPr>
            <w:fldChar w:fldCharType="separate"/>
          </w:r>
          <w:r w:rsidR="00845BDD">
            <w:rPr>
              <w:noProof/>
              <w:sz w:val="18"/>
            </w:rPr>
            <w:t>Leadership</w:t>
          </w:r>
          <w:r w:rsidR="008A2E32" w:rsidRPr="00704FAB">
            <w:rPr>
              <w:sz w:val="18"/>
            </w:rPr>
            <w:fldChar w:fldCharType="end"/>
          </w:r>
        </w:p>
      </w:tc>
      <w:tc>
        <w:tcPr>
          <w:tcW w:w="500" w:type="pct"/>
          <w:tcBorders>
            <w:top w:val="single" w:sz="4" w:space="0" w:color="C0504D" w:themeColor="accent2"/>
          </w:tcBorders>
          <w:shd w:val="clear" w:color="auto" w:fill="365F91" w:themeFill="accent1" w:themeFillShade="BF"/>
        </w:tcPr>
        <w:p w14:paraId="63FC815D" w14:textId="15E5E7CE" w:rsidR="008A2E32" w:rsidRDefault="008A2E32" w:rsidP="00862299">
          <w:pPr>
            <w:pStyle w:val="En-tte"/>
            <w:rPr>
              <w:color w:val="FFFFFF" w:themeColor="background1"/>
            </w:rPr>
          </w:pPr>
          <w:r>
            <w:fldChar w:fldCharType="begin"/>
          </w:r>
          <w:r>
            <w:instrText>PAGE   \* MERGEFORMAT</w:instrText>
          </w:r>
          <w:r>
            <w:fldChar w:fldCharType="separate"/>
          </w:r>
          <w:r w:rsidR="00845BDD" w:rsidRPr="00845BDD">
            <w:rPr>
              <w:noProof/>
              <w:color w:val="FFFFFF" w:themeColor="background1"/>
              <w:lang w:val="fr-FR"/>
            </w:rPr>
            <w:t>20</w:t>
          </w:r>
          <w:r>
            <w:rPr>
              <w:color w:val="FFFFFF" w:themeColor="background1"/>
            </w:rPr>
            <w:fldChar w:fldCharType="end"/>
          </w:r>
        </w:p>
      </w:tc>
    </w:tr>
  </w:tbl>
  <w:p w14:paraId="1A3C8DE7" w14:textId="77777777" w:rsidR="008A2E32" w:rsidRDefault="008A2E32" w:rsidP="00862299">
    <w:pPr>
      <w:pStyle w:val="Pieddepage"/>
    </w:pPr>
  </w:p>
  <w:p w14:paraId="115F6AD6" w14:textId="77777777" w:rsidR="008A2E32" w:rsidRDefault="008A2E32">
    <w:pPr>
      <w:pStyle w:val="Pieddepage"/>
    </w:pPr>
  </w:p>
  <w:p w14:paraId="3760F764" w14:textId="77777777" w:rsidR="008A2E32" w:rsidRDefault="008A2E32"/>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269364" w14:textId="77777777" w:rsidR="008A2E32" w:rsidRDefault="008A2E32">
    <w:pPr>
      <w:pStyle w:val="Pieddepage"/>
    </w:pPr>
  </w:p>
  <w:p w14:paraId="30DDF23B" w14:textId="77777777" w:rsidR="008A2E32" w:rsidRDefault="008A2E32"/>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12809"/>
      <w:gridCol w:w="1423"/>
    </w:tblGrid>
    <w:tr w:rsidR="008A2E32" w14:paraId="280B643C" w14:textId="77777777" w:rsidTr="00944B8C">
      <w:tc>
        <w:tcPr>
          <w:tcW w:w="4500" w:type="pct"/>
          <w:tcBorders>
            <w:top w:val="single" w:sz="4" w:space="0" w:color="000000" w:themeColor="text1"/>
          </w:tcBorders>
        </w:tcPr>
        <w:p w14:paraId="5ABE195C" w14:textId="29F32E3C" w:rsidR="008A2E32" w:rsidRPr="00704FAB" w:rsidRDefault="00E8606D" w:rsidP="00974263">
          <w:pPr>
            <w:pStyle w:val="Pieddepage"/>
            <w:spacing w:before="120"/>
            <w:rPr>
              <w:sz w:val="18"/>
            </w:rPr>
          </w:pPr>
          <w:sdt>
            <w:sdtPr>
              <w:rPr>
                <w:sz w:val="18"/>
              </w:rPr>
              <w:alias w:val="Société"/>
              <w:id w:val="1483426921"/>
              <w:dataBinding w:prefixMappings="xmlns:ns0='http://schemas.openxmlformats.org/officeDocument/2006/extended-properties'" w:xpath="/ns0:Properties[1]/ns0:Company[1]" w:storeItemID="{6668398D-A668-4E3E-A5EB-62B293D839F1}"/>
              <w:text/>
            </w:sdtPr>
            <w:sdtEndPr/>
            <w:sdtContent>
              <w:r w:rsidR="008A2E32">
                <w:rPr>
                  <w:sz w:val="18"/>
                </w:rPr>
                <w:t>Etat de Préparation de la République Tunisienne en vue d’une initiative d’ouverture des données publiques</w:t>
              </w:r>
            </w:sdtContent>
          </w:sdt>
          <w:r w:rsidR="008A2E32" w:rsidRPr="00704FAB">
            <w:rPr>
              <w:sz w:val="18"/>
            </w:rPr>
            <w:t xml:space="preserve"> | </w:t>
          </w:r>
          <w:r w:rsidR="008A2E32" w:rsidRPr="00704FAB">
            <w:rPr>
              <w:sz w:val="18"/>
            </w:rPr>
            <w:fldChar w:fldCharType="begin"/>
          </w:r>
          <w:r w:rsidR="008A2E32" w:rsidRPr="00704FAB">
            <w:rPr>
              <w:sz w:val="18"/>
            </w:rPr>
            <w:instrText xml:space="preserve"> STYLEREF  "1"  </w:instrText>
          </w:r>
          <w:r w:rsidR="008A2E32" w:rsidRPr="00704FAB">
            <w:rPr>
              <w:sz w:val="18"/>
            </w:rPr>
            <w:fldChar w:fldCharType="separate"/>
          </w:r>
          <w:r w:rsidR="00073406">
            <w:rPr>
              <w:noProof/>
              <w:sz w:val="18"/>
            </w:rPr>
            <w:t>Plan d’Actions</w:t>
          </w:r>
          <w:r w:rsidR="008A2E32" w:rsidRPr="00704FAB">
            <w:rPr>
              <w:sz w:val="18"/>
            </w:rPr>
            <w:fldChar w:fldCharType="end"/>
          </w:r>
        </w:p>
      </w:tc>
      <w:tc>
        <w:tcPr>
          <w:tcW w:w="500" w:type="pct"/>
          <w:tcBorders>
            <w:top w:val="single" w:sz="4" w:space="0" w:color="C0504D" w:themeColor="accent2"/>
          </w:tcBorders>
          <w:shd w:val="clear" w:color="auto" w:fill="365F91" w:themeFill="accent1" w:themeFillShade="BF"/>
        </w:tcPr>
        <w:p w14:paraId="49DFC167" w14:textId="7B1CF54C" w:rsidR="008A2E32" w:rsidRDefault="008A2E32" w:rsidP="00974263">
          <w:pPr>
            <w:pStyle w:val="En-tte"/>
            <w:rPr>
              <w:color w:val="FFFFFF" w:themeColor="background1"/>
            </w:rPr>
          </w:pPr>
          <w:r>
            <w:fldChar w:fldCharType="begin"/>
          </w:r>
          <w:r>
            <w:instrText>PAGE   \* MERGEFORMAT</w:instrText>
          </w:r>
          <w:r>
            <w:fldChar w:fldCharType="separate"/>
          </w:r>
          <w:r w:rsidR="00073406" w:rsidRPr="00073406">
            <w:rPr>
              <w:noProof/>
              <w:color w:val="FFFFFF" w:themeColor="background1"/>
              <w:lang w:val="fr-FR"/>
            </w:rPr>
            <w:t>90</w:t>
          </w:r>
          <w:r>
            <w:rPr>
              <w:color w:val="FFFFFF" w:themeColor="background1"/>
            </w:rPr>
            <w:fldChar w:fldCharType="end"/>
          </w:r>
        </w:p>
      </w:tc>
    </w:tr>
  </w:tbl>
  <w:p w14:paraId="58112724" w14:textId="77777777" w:rsidR="008A2E32" w:rsidRDefault="008A2E32" w:rsidP="00974263">
    <w:pPr>
      <w:pStyle w:val="Pieddepage"/>
    </w:pPr>
  </w:p>
  <w:p w14:paraId="251765A6" w14:textId="77777777" w:rsidR="008A2E32" w:rsidRDefault="008A2E32" w:rsidP="00974263">
    <w:pPr>
      <w:pStyle w:val="Pieddepage"/>
    </w:pPr>
  </w:p>
  <w:p w14:paraId="0DA3556B" w14:textId="77777777" w:rsidR="008A2E32" w:rsidRDefault="008A2E32" w:rsidP="00974263"/>
  <w:p w14:paraId="35F26C53" w14:textId="4FC1306D" w:rsidR="008A2E32" w:rsidRPr="00974263" w:rsidRDefault="008A2E32" w:rsidP="00974263">
    <w:pPr>
      <w:pStyle w:val="Pieddepage"/>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12809"/>
      <w:gridCol w:w="1423"/>
    </w:tblGrid>
    <w:tr w:rsidR="008A2E32" w14:paraId="6C867E48" w14:textId="77777777" w:rsidTr="00944B8C">
      <w:tc>
        <w:tcPr>
          <w:tcW w:w="4500" w:type="pct"/>
          <w:tcBorders>
            <w:top w:val="single" w:sz="4" w:space="0" w:color="000000" w:themeColor="text1"/>
          </w:tcBorders>
        </w:tcPr>
        <w:p w14:paraId="795261CE" w14:textId="28B789C9" w:rsidR="008A2E32" w:rsidRPr="00704FAB" w:rsidRDefault="00E8606D" w:rsidP="00974263">
          <w:pPr>
            <w:pStyle w:val="Pieddepage"/>
            <w:spacing w:before="120"/>
            <w:rPr>
              <w:sz w:val="18"/>
            </w:rPr>
          </w:pPr>
          <w:sdt>
            <w:sdtPr>
              <w:rPr>
                <w:sz w:val="18"/>
              </w:rPr>
              <w:alias w:val="Société"/>
              <w:id w:val="1381053425"/>
              <w:dataBinding w:prefixMappings="xmlns:ns0='http://schemas.openxmlformats.org/officeDocument/2006/extended-properties'" w:xpath="/ns0:Properties[1]/ns0:Company[1]" w:storeItemID="{6668398D-A668-4E3E-A5EB-62B293D839F1}"/>
              <w:text/>
            </w:sdtPr>
            <w:sdtEndPr/>
            <w:sdtContent>
              <w:r w:rsidR="008A2E32">
                <w:rPr>
                  <w:sz w:val="18"/>
                </w:rPr>
                <w:t>Etat de Préparation de la République Tunisienne en vue d’une initiative d’ouverture des données publiques</w:t>
              </w:r>
            </w:sdtContent>
          </w:sdt>
          <w:r w:rsidR="008A2E32" w:rsidRPr="00704FAB">
            <w:rPr>
              <w:sz w:val="18"/>
            </w:rPr>
            <w:t xml:space="preserve"> | </w:t>
          </w:r>
          <w:r w:rsidR="008A2E32" w:rsidRPr="00704FAB">
            <w:rPr>
              <w:sz w:val="18"/>
            </w:rPr>
            <w:fldChar w:fldCharType="begin"/>
          </w:r>
          <w:r w:rsidR="008A2E32" w:rsidRPr="00704FAB">
            <w:rPr>
              <w:sz w:val="18"/>
            </w:rPr>
            <w:instrText xml:space="preserve"> STYLEREF  "1"  </w:instrText>
          </w:r>
          <w:r w:rsidR="008A2E32" w:rsidRPr="00704FAB">
            <w:rPr>
              <w:sz w:val="18"/>
            </w:rPr>
            <w:fldChar w:fldCharType="separate"/>
          </w:r>
          <w:r w:rsidR="008A2E32">
            <w:rPr>
              <w:noProof/>
              <w:sz w:val="18"/>
            </w:rPr>
            <w:t>Plan d’Actions</w:t>
          </w:r>
          <w:r w:rsidR="008A2E32" w:rsidRPr="00704FAB">
            <w:rPr>
              <w:sz w:val="18"/>
            </w:rPr>
            <w:fldChar w:fldCharType="end"/>
          </w:r>
        </w:p>
      </w:tc>
      <w:tc>
        <w:tcPr>
          <w:tcW w:w="500" w:type="pct"/>
          <w:tcBorders>
            <w:top w:val="single" w:sz="4" w:space="0" w:color="C0504D" w:themeColor="accent2"/>
          </w:tcBorders>
          <w:shd w:val="clear" w:color="auto" w:fill="365F91" w:themeFill="accent1" w:themeFillShade="BF"/>
        </w:tcPr>
        <w:p w14:paraId="687F08EE" w14:textId="088EE178" w:rsidR="008A2E32" w:rsidRDefault="008A2E32" w:rsidP="00974263">
          <w:pPr>
            <w:pStyle w:val="En-tte"/>
            <w:rPr>
              <w:color w:val="FFFFFF" w:themeColor="background1"/>
            </w:rPr>
          </w:pPr>
          <w:r>
            <w:fldChar w:fldCharType="begin"/>
          </w:r>
          <w:r>
            <w:instrText>PAGE   \* MERGEFORMAT</w:instrText>
          </w:r>
          <w:r>
            <w:fldChar w:fldCharType="separate"/>
          </w:r>
          <w:r w:rsidRPr="00974263">
            <w:rPr>
              <w:noProof/>
              <w:color w:val="FFFFFF" w:themeColor="background1"/>
              <w:lang w:val="fr-FR"/>
            </w:rPr>
            <w:t>84</w:t>
          </w:r>
          <w:r>
            <w:rPr>
              <w:color w:val="FFFFFF" w:themeColor="background1"/>
            </w:rPr>
            <w:fldChar w:fldCharType="end"/>
          </w:r>
        </w:p>
      </w:tc>
    </w:tr>
  </w:tbl>
  <w:p w14:paraId="7EA7789A" w14:textId="77777777" w:rsidR="008A2E32" w:rsidRDefault="008A2E32" w:rsidP="00974263">
    <w:pPr>
      <w:pStyle w:val="Pieddepage"/>
    </w:pPr>
  </w:p>
  <w:p w14:paraId="79CAB43D" w14:textId="77777777" w:rsidR="008A2E32" w:rsidRDefault="008A2E32" w:rsidP="00974263">
    <w:pPr>
      <w:pStyle w:val="Pieddepage"/>
    </w:pPr>
  </w:p>
  <w:p w14:paraId="70717195" w14:textId="77777777" w:rsidR="008A2E32" w:rsidRDefault="008A2E32" w:rsidP="00974263"/>
  <w:p w14:paraId="27053720" w14:textId="77777777" w:rsidR="008A2E32" w:rsidRDefault="008A2E32">
    <w:pPr>
      <w:pStyle w:val="Pieddepage"/>
    </w:pPr>
  </w:p>
  <w:p w14:paraId="0E20978D" w14:textId="77777777" w:rsidR="008A2E32" w:rsidRDefault="008A2E32"/>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8370"/>
      <w:gridCol w:w="930"/>
    </w:tblGrid>
    <w:tr w:rsidR="008A2E32" w14:paraId="67E07B17" w14:textId="77777777" w:rsidTr="00944B8C">
      <w:tc>
        <w:tcPr>
          <w:tcW w:w="4500" w:type="pct"/>
          <w:tcBorders>
            <w:top w:val="single" w:sz="4" w:space="0" w:color="000000" w:themeColor="text1"/>
          </w:tcBorders>
        </w:tcPr>
        <w:p w14:paraId="585325BC" w14:textId="1FC6C5AC" w:rsidR="008A2E32" w:rsidRPr="00704FAB" w:rsidRDefault="00E8606D" w:rsidP="008D489C">
          <w:pPr>
            <w:pStyle w:val="Pieddepage"/>
            <w:spacing w:before="120"/>
            <w:rPr>
              <w:sz w:val="18"/>
            </w:rPr>
          </w:pPr>
          <w:sdt>
            <w:sdtPr>
              <w:rPr>
                <w:sz w:val="18"/>
              </w:rPr>
              <w:alias w:val="Société"/>
              <w:id w:val="871880396"/>
              <w:dataBinding w:prefixMappings="xmlns:ns0='http://schemas.openxmlformats.org/officeDocument/2006/extended-properties'" w:xpath="/ns0:Properties[1]/ns0:Company[1]" w:storeItemID="{6668398D-A668-4E3E-A5EB-62B293D839F1}"/>
              <w:text/>
            </w:sdtPr>
            <w:sdtEndPr/>
            <w:sdtContent>
              <w:r w:rsidR="008A2E32">
                <w:rPr>
                  <w:sz w:val="18"/>
                </w:rPr>
                <w:t>Etat de Préparation de la République Tunisienne en vue d’une initiative d’ouverture des données publiques</w:t>
              </w:r>
            </w:sdtContent>
          </w:sdt>
          <w:r w:rsidR="008A2E32" w:rsidRPr="00704FAB">
            <w:rPr>
              <w:sz w:val="18"/>
            </w:rPr>
            <w:t xml:space="preserve"> | </w:t>
          </w:r>
          <w:r w:rsidR="008A2E32" w:rsidRPr="00704FAB">
            <w:rPr>
              <w:sz w:val="18"/>
            </w:rPr>
            <w:fldChar w:fldCharType="begin"/>
          </w:r>
          <w:r w:rsidR="008A2E32" w:rsidRPr="00704FAB">
            <w:rPr>
              <w:sz w:val="18"/>
            </w:rPr>
            <w:instrText xml:space="preserve"> STYLEREF  "1"  </w:instrText>
          </w:r>
          <w:r w:rsidR="008A2E32" w:rsidRPr="00704FAB">
            <w:rPr>
              <w:sz w:val="18"/>
            </w:rPr>
            <w:fldChar w:fldCharType="separate"/>
          </w:r>
          <w:r w:rsidR="00073406">
            <w:rPr>
              <w:noProof/>
              <w:sz w:val="18"/>
            </w:rPr>
            <w:t>Annexe E – Introduction à l’Open Data</w:t>
          </w:r>
          <w:r w:rsidR="008A2E32" w:rsidRPr="00704FAB">
            <w:rPr>
              <w:sz w:val="18"/>
            </w:rPr>
            <w:fldChar w:fldCharType="end"/>
          </w:r>
        </w:p>
      </w:tc>
      <w:tc>
        <w:tcPr>
          <w:tcW w:w="500" w:type="pct"/>
          <w:tcBorders>
            <w:top w:val="single" w:sz="4" w:space="0" w:color="C0504D" w:themeColor="accent2"/>
          </w:tcBorders>
          <w:shd w:val="clear" w:color="auto" w:fill="365F91" w:themeFill="accent1" w:themeFillShade="BF"/>
        </w:tcPr>
        <w:p w14:paraId="08DB8095" w14:textId="5E1E9475" w:rsidR="008A2E32" w:rsidRDefault="008A2E32" w:rsidP="008D489C">
          <w:pPr>
            <w:pStyle w:val="En-tte"/>
            <w:rPr>
              <w:color w:val="FFFFFF" w:themeColor="background1"/>
            </w:rPr>
          </w:pPr>
          <w:r>
            <w:fldChar w:fldCharType="begin"/>
          </w:r>
          <w:r>
            <w:instrText>PAGE   \* MERGEFORMAT</w:instrText>
          </w:r>
          <w:r>
            <w:fldChar w:fldCharType="separate"/>
          </w:r>
          <w:r w:rsidR="00073406" w:rsidRPr="00073406">
            <w:rPr>
              <w:noProof/>
              <w:color w:val="FFFFFF" w:themeColor="background1"/>
              <w:lang w:val="fr-FR"/>
            </w:rPr>
            <w:t>106</w:t>
          </w:r>
          <w:r>
            <w:rPr>
              <w:color w:val="FFFFFF" w:themeColor="background1"/>
            </w:rPr>
            <w:fldChar w:fldCharType="end"/>
          </w:r>
        </w:p>
      </w:tc>
    </w:tr>
  </w:tbl>
  <w:p w14:paraId="29DF0C94" w14:textId="77777777" w:rsidR="008A2E32" w:rsidRDefault="008A2E32" w:rsidP="008D489C">
    <w:pPr>
      <w:pStyle w:val="Pieddepage"/>
    </w:pPr>
  </w:p>
  <w:p w14:paraId="6CF260D4" w14:textId="77777777" w:rsidR="008A2E32" w:rsidRDefault="008A2E32" w:rsidP="008D489C">
    <w:pPr>
      <w:pStyle w:val="Pieddepage"/>
    </w:pPr>
  </w:p>
  <w:p w14:paraId="2979A7C4" w14:textId="77777777" w:rsidR="008A2E32" w:rsidRDefault="008A2E32" w:rsidP="008D489C"/>
  <w:p w14:paraId="4F18E535" w14:textId="77777777" w:rsidR="008A2E32" w:rsidRPr="008D489C" w:rsidRDefault="008A2E32" w:rsidP="008D489C">
    <w:pPr>
      <w:pStyle w:val="Pieddepage"/>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8370"/>
      <w:gridCol w:w="930"/>
    </w:tblGrid>
    <w:tr w:rsidR="008A2E32" w14:paraId="66A0B889" w14:textId="77777777" w:rsidTr="00944B8C">
      <w:tc>
        <w:tcPr>
          <w:tcW w:w="4500" w:type="pct"/>
          <w:tcBorders>
            <w:top w:val="single" w:sz="4" w:space="0" w:color="000000" w:themeColor="text1"/>
          </w:tcBorders>
        </w:tcPr>
        <w:p w14:paraId="7D694075" w14:textId="48F0C508" w:rsidR="008A2E32" w:rsidRPr="00704FAB" w:rsidRDefault="00E8606D" w:rsidP="008D489C">
          <w:pPr>
            <w:pStyle w:val="Pieddepage"/>
            <w:spacing w:before="120"/>
            <w:rPr>
              <w:sz w:val="18"/>
            </w:rPr>
          </w:pPr>
          <w:sdt>
            <w:sdtPr>
              <w:rPr>
                <w:sz w:val="18"/>
              </w:rPr>
              <w:alias w:val="Société"/>
              <w:id w:val="302665372"/>
              <w:dataBinding w:prefixMappings="xmlns:ns0='http://schemas.openxmlformats.org/officeDocument/2006/extended-properties'" w:xpath="/ns0:Properties[1]/ns0:Company[1]" w:storeItemID="{6668398D-A668-4E3E-A5EB-62B293D839F1}"/>
              <w:text/>
            </w:sdtPr>
            <w:sdtEndPr/>
            <w:sdtContent>
              <w:r w:rsidR="008A2E32">
                <w:rPr>
                  <w:sz w:val="18"/>
                </w:rPr>
                <w:t>Etat de Préparation de la République Tunisienne en vue d’une initiative d’ouverture des données publiques</w:t>
              </w:r>
            </w:sdtContent>
          </w:sdt>
          <w:r w:rsidR="008A2E32" w:rsidRPr="00704FAB">
            <w:rPr>
              <w:sz w:val="18"/>
            </w:rPr>
            <w:t xml:space="preserve"> | </w:t>
          </w:r>
          <w:r w:rsidR="008A2E32" w:rsidRPr="00704FAB">
            <w:rPr>
              <w:sz w:val="18"/>
            </w:rPr>
            <w:fldChar w:fldCharType="begin"/>
          </w:r>
          <w:r w:rsidR="008A2E32" w:rsidRPr="00704FAB">
            <w:rPr>
              <w:sz w:val="18"/>
            </w:rPr>
            <w:instrText xml:space="preserve"> STYLEREF  "1"  </w:instrText>
          </w:r>
          <w:r w:rsidR="008A2E32" w:rsidRPr="00704FAB">
            <w:rPr>
              <w:sz w:val="18"/>
            </w:rPr>
            <w:fldChar w:fldCharType="separate"/>
          </w:r>
          <w:r w:rsidR="008A2E32">
            <w:rPr>
              <w:noProof/>
              <w:sz w:val="18"/>
            </w:rPr>
            <w:t>Plan d’Actions</w:t>
          </w:r>
          <w:r w:rsidR="008A2E32" w:rsidRPr="00704FAB">
            <w:rPr>
              <w:sz w:val="18"/>
            </w:rPr>
            <w:fldChar w:fldCharType="end"/>
          </w:r>
        </w:p>
      </w:tc>
      <w:tc>
        <w:tcPr>
          <w:tcW w:w="500" w:type="pct"/>
          <w:tcBorders>
            <w:top w:val="single" w:sz="4" w:space="0" w:color="C0504D" w:themeColor="accent2"/>
          </w:tcBorders>
          <w:shd w:val="clear" w:color="auto" w:fill="365F91" w:themeFill="accent1" w:themeFillShade="BF"/>
        </w:tcPr>
        <w:p w14:paraId="49DAB6B9" w14:textId="098417A9" w:rsidR="008A2E32" w:rsidRDefault="008A2E32" w:rsidP="008D489C">
          <w:pPr>
            <w:pStyle w:val="En-tte"/>
            <w:rPr>
              <w:color w:val="FFFFFF" w:themeColor="background1"/>
            </w:rPr>
          </w:pPr>
          <w:r>
            <w:fldChar w:fldCharType="begin"/>
          </w:r>
          <w:r>
            <w:instrText>PAGE   \* MERGEFORMAT</w:instrText>
          </w:r>
          <w:r>
            <w:fldChar w:fldCharType="separate"/>
          </w:r>
          <w:r w:rsidRPr="008D489C">
            <w:rPr>
              <w:noProof/>
              <w:color w:val="FFFFFF" w:themeColor="background1"/>
              <w:lang w:val="fr-FR"/>
            </w:rPr>
            <w:t>91</w:t>
          </w:r>
          <w:r>
            <w:rPr>
              <w:color w:val="FFFFFF" w:themeColor="background1"/>
            </w:rPr>
            <w:fldChar w:fldCharType="end"/>
          </w:r>
        </w:p>
      </w:tc>
    </w:tr>
  </w:tbl>
  <w:p w14:paraId="3ED45E19" w14:textId="77777777" w:rsidR="008A2E32" w:rsidRDefault="008A2E32" w:rsidP="008D489C">
    <w:pPr>
      <w:pStyle w:val="Pieddepage"/>
    </w:pPr>
  </w:p>
  <w:p w14:paraId="742AC85C" w14:textId="77777777" w:rsidR="008A2E32" w:rsidRDefault="008A2E32" w:rsidP="008D489C">
    <w:pPr>
      <w:pStyle w:val="Pieddepage"/>
    </w:pPr>
  </w:p>
  <w:p w14:paraId="2855651D" w14:textId="77777777" w:rsidR="008A2E32" w:rsidRDefault="008A2E32" w:rsidP="008D489C"/>
  <w:p w14:paraId="31D597DB" w14:textId="77777777" w:rsidR="008A2E32" w:rsidRDefault="008A2E32">
    <w:pPr>
      <w:pStyle w:val="Pieddepage"/>
    </w:pPr>
  </w:p>
  <w:p w14:paraId="6A2F85B9" w14:textId="77777777" w:rsidR="008A2E32" w:rsidRDefault="008A2E32"/>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D686E7" w14:textId="77777777" w:rsidR="00E8606D" w:rsidRDefault="00E8606D" w:rsidP="00FA1BB6">
      <w:pPr>
        <w:spacing w:after="0" w:line="240" w:lineRule="auto"/>
      </w:pPr>
      <w:r>
        <w:separator/>
      </w:r>
    </w:p>
  </w:footnote>
  <w:footnote w:type="continuationSeparator" w:id="0">
    <w:p w14:paraId="11FE3549" w14:textId="77777777" w:rsidR="00E8606D" w:rsidRDefault="00E8606D" w:rsidP="00FA1BB6">
      <w:pPr>
        <w:spacing w:after="0" w:line="240" w:lineRule="auto"/>
      </w:pPr>
      <w:r>
        <w:continuationSeparator/>
      </w:r>
    </w:p>
  </w:footnote>
  <w:footnote w:id="1">
    <w:p w14:paraId="5546A60B" w14:textId="77777777" w:rsidR="008A2E32" w:rsidRDefault="008A2E32" w:rsidP="004C4146">
      <w:pPr>
        <w:pStyle w:val="Notedebasdepage"/>
        <w:rPr>
          <w:lang w:val="en-US"/>
        </w:rPr>
      </w:pPr>
      <w:r>
        <w:rPr>
          <w:rStyle w:val="Appelnotedebasdep"/>
        </w:rPr>
        <w:footnoteRef/>
      </w:r>
      <w:r>
        <w:rPr>
          <w:lang w:val="en-US"/>
        </w:rPr>
        <w:t xml:space="preserve"> </w:t>
      </w:r>
      <w:hyperlink r:id="rId1" w:history="1">
        <w:r>
          <w:rPr>
            <w:rStyle w:val="Lienhypertexte"/>
            <w:lang w:val="en-US"/>
          </w:rPr>
          <w:t>Open Data Readiness Assessment (ODRA) methodological tool</w:t>
        </w:r>
      </w:hyperlink>
      <w:r>
        <w:rPr>
          <w:lang w:val="en-US"/>
        </w:rPr>
        <w:t xml:space="preserve"> </w:t>
      </w:r>
    </w:p>
  </w:footnote>
  <w:footnote w:id="2">
    <w:p w14:paraId="6AB66C3C" w14:textId="4B63ED99" w:rsidR="008A2E32" w:rsidRDefault="008A2E32">
      <w:pPr>
        <w:pStyle w:val="Notedebasdepage"/>
      </w:pPr>
      <w:r>
        <w:rPr>
          <w:rStyle w:val="Appelnotedebasdep"/>
        </w:rPr>
        <w:footnoteRef/>
      </w:r>
      <w:r>
        <w:t xml:space="preserve"> L’Open Data est un moyen essentiel pour développer la transparence gouvernementale en fournissant aux organisations de la société civile et aux citoyens l’ensemble des données manipulées au sein de l’administration (cf. </w:t>
      </w:r>
      <w:hyperlink r:id="rId2" w:history="1">
        <w:r w:rsidRPr="00B84295">
          <w:rPr>
            <w:rStyle w:val="Lienhypertexte"/>
          </w:rPr>
          <w:t>http://opendatahandbook.org/guide/fr/why-open-data/</w:t>
        </w:r>
      </w:hyperlink>
      <w:r>
        <w:t xml:space="preserve"> ) </w:t>
      </w:r>
    </w:p>
  </w:footnote>
  <w:footnote w:id="3">
    <w:p w14:paraId="0815B1A9" w14:textId="75F98705" w:rsidR="008A2E32" w:rsidRPr="001B6DD5" w:rsidRDefault="008A2E32">
      <w:pPr>
        <w:pStyle w:val="Notedebasdepage"/>
      </w:pPr>
      <w:r>
        <w:rPr>
          <w:rStyle w:val="Appelnotedebasdep"/>
        </w:rPr>
        <w:footnoteRef/>
      </w:r>
      <w:r w:rsidRPr="001B6DD5">
        <w:t xml:space="preserve"> </w:t>
      </w:r>
      <w:hyperlink r:id="rId3" w:history="1">
        <w:r w:rsidRPr="001B6DD5">
          <w:rPr>
            <w:rStyle w:val="Lienhypertexte"/>
          </w:rPr>
          <w:t>https://www.opengovpartnership.org/sites/default/files/Tunisia_National-Action-Plan-2_2016-2018_ENG.docx</w:t>
        </w:r>
      </w:hyperlink>
    </w:p>
  </w:footnote>
  <w:footnote w:id="4">
    <w:p w14:paraId="4A7D86E9" w14:textId="3935C57E" w:rsidR="008A2E32" w:rsidRDefault="008A2E32">
      <w:pPr>
        <w:pStyle w:val="Notedebasdepage"/>
      </w:pPr>
      <w:r>
        <w:rPr>
          <w:rStyle w:val="Appelnotedebasdep"/>
        </w:rPr>
        <w:footnoteRef/>
      </w:r>
      <w:r>
        <w:t xml:space="preserve"> En facilitant les échanges et l’exploitation de données entre les différentes structures, l’Open Data améliore l’efficacité du gouvernement en évitant notamment la duplication de collecte de données,  et facilite la conception et l’évaluation des politiques publiques en les basant sur des données objective issus de plusieurs secteurs.</w:t>
      </w:r>
    </w:p>
  </w:footnote>
  <w:footnote w:id="5">
    <w:p w14:paraId="516F0F43" w14:textId="7C06CBC3" w:rsidR="008A2E32" w:rsidRPr="001B6DD5" w:rsidRDefault="008A2E32">
      <w:pPr>
        <w:pStyle w:val="Notedebasdepage"/>
      </w:pPr>
      <w:r>
        <w:rPr>
          <w:rStyle w:val="Appelnotedebasdep"/>
        </w:rPr>
        <w:footnoteRef/>
      </w:r>
      <w:r w:rsidRPr="001B6DD5">
        <w:t xml:space="preserve"> </w:t>
      </w:r>
      <w:hyperlink r:id="rId4" w:history="1">
        <w:r w:rsidRPr="001B6DD5">
          <w:rPr>
            <w:rStyle w:val="Lienhypertexte"/>
          </w:rPr>
          <w:t>http://www.mehat.gov.tn/fileadmin/user1/doc/SyntheseOpenGov2016.pdf</w:t>
        </w:r>
      </w:hyperlink>
      <w:r w:rsidRPr="001B6DD5">
        <w:t xml:space="preserve"> </w:t>
      </w:r>
    </w:p>
  </w:footnote>
  <w:footnote w:id="6">
    <w:p w14:paraId="2C0168AA" w14:textId="4C420FF4" w:rsidR="008A2E32" w:rsidRPr="001B6DD5" w:rsidRDefault="008A2E32">
      <w:pPr>
        <w:pStyle w:val="Notedebasdepage"/>
      </w:pPr>
      <w:r>
        <w:rPr>
          <w:rStyle w:val="Appelnotedebasdep"/>
        </w:rPr>
        <w:footnoteRef/>
      </w:r>
      <w:r w:rsidRPr="001B6DD5">
        <w:t xml:space="preserve"> </w:t>
      </w:r>
      <w:hyperlink r:id="rId5" w:history="1">
        <w:r w:rsidRPr="001B6DD5">
          <w:rPr>
            <w:rStyle w:val="Lienhypertexte"/>
          </w:rPr>
          <w:t>http://www.tunisieindustrie.nat.tn/fr/download/news/2017/smart/11.pdf</w:t>
        </w:r>
      </w:hyperlink>
    </w:p>
  </w:footnote>
  <w:footnote w:id="7">
    <w:p w14:paraId="1946313C" w14:textId="36F7FFCF" w:rsidR="008A2E32" w:rsidRDefault="008A2E32">
      <w:pPr>
        <w:pStyle w:val="Notedebasdepage"/>
      </w:pPr>
      <w:r>
        <w:rPr>
          <w:rStyle w:val="Appelnotedebasdep"/>
        </w:rPr>
        <w:footnoteRef/>
      </w:r>
      <w:r>
        <w:t xml:space="preserve"> L’Open Data est un élément essentiel de l’innovation numérique. Les données publiées permettent le développement de services à forte valeur ajoutée. Cf. l’impact économique de l’Open Data, diapositive 18 – Annexe E</w:t>
      </w:r>
    </w:p>
  </w:footnote>
  <w:footnote w:id="8">
    <w:p w14:paraId="74040D6D" w14:textId="2E37C4A8" w:rsidR="008A2E32" w:rsidRPr="00D14C07" w:rsidRDefault="008A2E32">
      <w:pPr>
        <w:pStyle w:val="Notedebasdepage"/>
      </w:pPr>
      <w:r>
        <w:rPr>
          <w:rStyle w:val="Appelnotedebasdep"/>
        </w:rPr>
        <w:footnoteRef/>
      </w:r>
      <w:r w:rsidRPr="00D14C07">
        <w:t xml:space="preserve"> </w:t>
      </w:r>
      <w:r w:rsidRPr="001B6DD5">
        <w:t>http://wbi.worldbank.org/boost/boost-initiative</w:t>
      </w:r>
    </w:p>
  </w:footnote>
  <w:footnote w:id="9">
    <w:p w14:paraId="232D5D1E" w14:textId="11DBBC1D" w:rsidR="008A2E32" w:rsidRDefault="008A2E32" w:rsidP="00F056E2">
      <w:pPr>
        <w:pStyle w:val="Notedebasdepage"/>
      </w:pPr>
      <w:r>
        <w:rPr>
          <w:rStyle w:val="Appelnotedebasdep"/>
        </w:rPr>
        <w:footnoteRef/>
      </w:r>
      <w:r>
        <w:t xml:space="preserve"> -Décret-loi n° 2011-41 du 26 mai 2011, Décret -loi n° 2011-54 du 11 juin 2011 et Circulaire n° 25 du 05 mai 2012</w:t>
      </w:r>
    </w:p>
  </w:footnote>
  <w:footnote w:id="10">
    <w:p w14:paraId="6E6B9D63" w14:textId="1A0C022C" w:rsidR="008A2E32" w:rsidRDefault="008A2E32" w:rsidP="001B6DD5">
      <w:pPr>
        <w:pStyle w:val="Commentaire"/>
        <w:spacing w:after="0"/>
      </w:pPr>
      <w:r>
        <w:rPr>
          <w:rStyle w:val="Appelnotedebasdep"/>
        </w:rPr>
        <w:footnoteRef/>
      </w:r>
      <w:r>
        <w:t xml:space="preserve"> </w:t>
      </w:r>
      <w:hyperlink r:id="rId6" w:history="1">
        <w:r w:rsidRPr="002520E4">
          <w:rPr>
            <w:rStyle w:val="Lienhypertexte"/>
          </w:rPr>
          <w:t>http://www.legislation.tn/detailtexte/D%C3%A9cret-num-2013-1299-du-26-02-2013-jort-2013-020__2013020012993?shorten=4DiR</w:t>
        </w:r>
      </w:hyperlink>
    </w:p>
  </w:footnote>
  <w:footnote w:id="11">
    <w:p w14:paraId="7C4997A7" w14:textId="76ACCDCE" w:rsidR="008A2E32" w:rsidRDefault="008A2E32">
      <w:pPr>
        <w:pStyle w:val="Notedebasdepage"/>
      </w:pPr>
      <w:r>
        <w:rPr>
          <w:rStyle w:val="Appelnotedebasdep"/>
        </w:rPr>
        <w:footnoteRef/>
      </w:r>
      <w:r>
        <w:t xml:space="preserve"> Voir le guide de l’Union Européenne </w:t>
      </w:r>
      <w:hyperlink r:id="rId7" w:history="1">
        <w:r w:rsidRPr="00B84295">
          <w:rPr>
            <w:rStyle w:val="Lienhypertexte"/>
          </w:rPr>
          <w:t>https://www.europeandataportal.eu/en/providing-data/goldbook</w:t>
        </w:r>
      </w:hyperlink>
      <w:r>
        <w:t xml:space="preserve"> très complet et couvrant un champs plus large que celui d’un manuel à l’attention des chargés d’OD. Un autre exemple fait par la FING : </w:t>
      </w:r>
      <w:hyperlink r:id="rId8" w:history="1">
        <w:r w:rsidRPr="00B84295">
          <w:rPr>
            <w:rStyle w:val="Lienhypertexte"/>
          </w:rPr>
          <w:t>http://fing.org/?Guide-pratique-de-l-ouverture-des</w:t>
        </w:r>
      </w:hyperlink>
    </w:p>
  </w:footnote>
  <w:footnote w:id="12">
    <w:p w14:paraId="7D00AD81" w14:textId="77777777" w:rsidR="008A2E32" w:rsidRPr="001B6DD5" w:rsidRDefault="008A2E32" w:rsidP="00BE127A">
      <w:pPr>
        <w:pStyle w:val="Notedebasdepage"/>
      </w:pPr>
      <w:r>
        <w:rPr>
          <w:rStyle w:val="Appelnotedebasdep"/>
        </w:rPr>
        <w:footnoteRef/>
      </w:r>
      <w:r w:rsidRPr="001B6DD5">
        <w:t xml:space="preserve"> </w:t>
      </w:r>
      <w:hyperlink r:id="rId9" w:history="1">
        <w:r w:rsidRPr="001B6DD5">
          <w:rPr>
            <w:rStyle w:val="Lienhypertexte"/>
          </w:rPr>
          <w:t>http://www.dlab.or.tz/</w:t>
        </w:r>
      </w:hyperlink>
      <w:r w:rsidRPr="001B6DD5">
        <w:t xml:space="preserve"> </w:t>
      </w:r>
    </w:p>
  </w:footnote>
  <w:footnote w:id="13">
    <w:p w14:paraId="1E0D1BDC" w14:textId="77777777" w:rsidR="008A2E32" w:rsidRPr="001B6DD5" w:rsidRDefault="008A2E32" w:rsidP="00BE127A">
      <w:pPr>
        <w:pStyle w:val="Notedebasdepage"/>
        <w:spacing w:after="120"/>
      </w:pPr>
      <w:r>
        <w:rPr>
          <w:rStyle w:val="Appelnotedebasdep"/>
        </w:rPr>
        <w:footnoteRef/>
      </w:r>
      <w:r w:rsidRPr="001B6DD5">
        <w:t xml:space="preserve"> </w:t>
      </w:r>
      <w:hyperlink r:id="rId10" w:history="1">
        <w:r w:rsidRPr="001B6DD5">
          <w:rPr>
            <w:rStyle w:val="Lienhypertexte"/>
          </w:rPr>
          <w:t>http://labs.webfoundation.org/</w:t>
        </w:r>
      </w:hyperlink>
      <w:r w:rsidRPr="001B6DD5">
        <w:t xml:space="preserve"> </w:t>
      </w:r>
    </w:p>
  </w:footnote>
  <w:footnote w:id="14">
    <w:p w14:paraId="2D5E121E" w14:textId="3E356A79" w:rsidR="008A2E32" w:rsidRDefault="008A2E32">
      <w:pPr>
        <w:pStyle w:val="Notedebasdepage"/>
      </w:pPr>
      <w:r>
        <w:rPr>
          <w:rStyle w:val="Appelnotedebasdep"/>
        </w:rPr>
        <w:footnoteRef/>
      </w:r>
      <w:r>
        <w:t xml:space="preserve"> </w:t>
      </w:r>
      <w:hyperlink r:id="rId11" w:history="1">
        <w:r w:rsidRPr="009F5D07">
          <w:rPr>
            <w:rStyle w:val="Lienhypertexte"/>
          </w:rPr>
          <w:t>https://www.etalab.gouv.fr/</w:t>
        </w:r>
      </w:hyperlink>
      <w:r>
        <w:t xml:space="preserve"> </w:t>
      </w:r>
    </w:p>
  </w:footnote>
  <w:footnote w:id="15">
    <w:p w14:paraId="2851FCDA" w14:textId="77777777" w:rsidR="008A2E32" w:rsidRPr="001B6DD5" w:rsidRDefault="008A2E32" w:rsidP="00996A11">
      <w:pPr>
        <w:pStyle w:val="Notedebasdepage"/>
        <w:spacing w:after="120"/>
      </w:pPr>
      <w:r>
        <w:rPr>
          <w:rStyle w:val="Appelnotedebasdep"/>
        </w:rPr>
        <w:footnoteRef/>
      </w:r>
      <w:r w:rsidRPr="001B6DD5">
        <w:t xml:space="preserve"> </w:t>
      </w:r>
      <w:hyperlink r:id="rId12" w:history="1">
        <w:r w:rsidRPr="001B6DD5">
          <w:rPr>
            <w:rStyle w:val="Lienhypertexte"/>
          </w:rPr>
          <w:t>http://www.sbc4d.com</w:t>
        </w:r>
      </w:hyperlink>
      <w:r w:rsidRPr="001B6DD5">
        <w:t xml:space="preserve"> </w:t>
      </w:r>
    </w:p>
  </w:footnote>
  <w:footnote w:id="16">
    <w:p w14:paraId="5A928752" w14:textId="77777777" w:rsidR="008A2E32" w:rsidRPr="001B6DD5" w:rsidRDefault="008A2E32">
      <w:pPr>
        <w:pStyle w:val="Notedebasdepage"/>
      </w:pPr>
      <w:r>
        <w:rPr>
          <w:rStyle w:val="Appelnotedebasdep"/>
        </w:rPr>
        <w:footnoteRef/>
      </w:r>
      <w:r w:rsidRPr="001B6DD5">
        <w:t xml:space="preserve"> http://www.sbc4d.com</w:t>
      </w:r>
    </w:p>
  </w:footnote>
  <w:footnote w:id="17">
    <w:p w14:paraId="60DD9E79" w14:textId="6D17C193" w:rsidR="008A2E32" w:rsidRPr="001B6DD5" w:rsidRDefault="008A2E32">
      <w:pPr>
        <w:pStyle w:val="Notedebasdepage"/>
      </w:pPr>
      <w:r>
        <w:rPr>
          <w:rStyle w:val="Appelnotedebasdep"/>
        </w:rPr>
        <w:footnoteRef/>
      </w:r>
      <w:r w:rsidRPr="001B6DD5">
        <w:t xml:space="preserve"> http://fr.data.gov.tn/</w:t>
      </w:r>
    </w:p>
  </w:footnote>
  <w:footnote w:id="18">
    <w:p w14:paraId="5FBDB11A" w14:textId="2902032E" w:rsidR="008A2E32" w:rsidRDefault="008A2E32">
      <w:pPr>
        <w:pStyle w:val="Notedebasdepage"/>
      </w:pPr>
      <w:r>
        <w:rPr>
          <w:rStyle w:val="Appelnotedebasdep"/>
        </w:rPr>
        <w:footnoteRef/>
      </w:r>
      <w:r>
        <w:t xml:space="preserve"> A noter que des codes de couleurs composés (jaune/vert et jaune/rouge) sont utilisés pour décrire des niveaux intermédiaires. </w:t>
      </w:r>
    </w:p>
  </w:footnote>
  <w:footnote w:id="19">
    <w:p w14:paraId="425E2C9B" w14:textId="1B4D6050" w:rsidR="008A2E32" w:rsidRDefault="008A2E32">
      <w:pPr>
        <w:pStyle w:val="Notedebasdepage"/>
      </w:pPr>
      <w:r>
        <w:rPr>
          <w:rStyle w:val="Appelnotedebasdep"/>
        </w:rPr>
        <w:footnoteRef/>
      </w:r>
      <w:r>
        <w:t xml:space="preserve"> Sources : </w:t>
      </w:r>
      <w:hyperlink r:id="rId13" w:history="1">
        <w:r w:rsidRPr="00594AED">
          <w:rPr>
            <w:rStyle w:val="Lienhypertexte"/>
          </w:rPr>
          <w:t>http://www.diplomatie.gouv.fr/fr/dossiers-pays/tunisie/presentation-de-la-tunisie/</w:t>
        </w:r>
      </w:hyperlink>
      <w:r>
        <w:t xml:space="preserve"> </w:t>
      </w:r>
      <w:hyperlink r:id="rId14" w:history="1">
        <w:r w:rsidRPr="00594AED">
          <w:rPr>
            <w:rStyle w:val="Lienhypertexte"/>
          </w:rPr>
          <w:t>http://data.worldbank.org/country/tunisia</w:t>
        </w:r>
      </w:hyperlink>
      <w:r>
        <w:t xml:space="preserve"> </w:t>
      </w:r>
      <w:hyperlink r:id="rId15" w:history="1">
        <w:r w:rsidRPr="00780959">
          <w:rPr>
            <w:rStyle w:val="Lienhypertexte"/>
          </w:rPr>
          <w:t>https://fr.wikipedia.org/wiki/Tunisie</w:t>
        </w:r>
      </w:hyperlink>
      <w:r>
        <w:t xml:space="preserve"> </w:t>
      </w:r>
    </w:p>
  </w:footnote>
  <w:footnote w:id="20">
    <w:p w14:paraId="7CD421C0" w14:textId="539B3774" w:rsidR="008A2E32" w:rsidRDefault="008A2E32">
      <w:pPr>
        <w:pStyle w:val="Notedebasdepage"/>
      </w:pPr>
      <w:r>
        <w:rPr>
          <w:rStyle w:val="Appelnotedebasdep"/>
        </w:rPr>
        <w:footnoteRef/>
      </w:r>
      <w:r>
        <w:t xml:space="preserve"> </w:t>
      </w:r>
      <w:hyperlink r:id="rId16" w:history="1">
        <w:r w:rsidRPr="00780959">
          <w:rPr>
            <w:rStyle w:val="Lienhypertexte"/>
          </w:rPr>
          <w:t>http://www.ins.nat.tn/</w:t>
        </w:r>
      </w:hyperlink>
      <w:r>
        <w:t xml:space="preserve"> </w:t>
      </w:r>
    </w:p>
  </w:footnote>
  <w:footnote w:id="21">
    <w:p w14:paraId="3965A433" w14:textId="7CBBA32B" w:rsidR="008A2E32" w:rsidRDefault="008A2E32">
      <w:pPr>
        <w:pStyle w:val="Notedebasdepage"/>
      </w:pPr>
      <w:r>
        <w:rPr>
          <w:rStyle w:val="Appelnotedebasdep"/>
        </w:rPr>
        <w:footnoteRef/>
      </w:r>
      <w:r>
        <w:t xml:space="preserve"> </w:t>
      </w:r>
      <w:hyperlink r:id="rId17" w:history="1">
        <w:r w:rsidRPr="00780959">
          <w:rPr>
            <w:rStyle w:val="Lienhypertexte"/>
          </w:rPr>
          <w:t>https://www.cia.gov/library/publications/the-world-factbook/geos/ts.html</w:t>
        </w:r>
      </w:hyperlink>
      <w:r>
        <w:t xml:space="preserve"> </w:t>
      </w:r>
    </w:p>
  </w:footnote>
  <w:footnote w:id="22">
    <w:p w14:paraId="5E4583DA" w14:textId="46A0117E" w:rsidR="008A2E32" w:rsidRDefault="008A2E32" w:rsidP="009E42EF">
      <w:pPr>
        <w:pStyle w:val="Notedebasdepage"/>
      </w:pPr>
      <w:r>
        <w:rPr>
          <w:rStyle w:val="Appelnotedebasdep"/>
        </w:rPr>
        <w:footnoteRef/>
      </w:r>
      <w:r>
        <w:t xml:space="preserve"> Décret-loi n° 2011-41 du 26 mai 2011, Décret -loi n° 2011-54 du 11 juin 2011</w:t>
      </w:r>
    </w:p>
  </w:footnote>
  <w:footnote w:id="23">
    <w:p w14:paraId="3EE1C1AD" w14:textId="54D0874B" w:rsidR="008A2E32" w:rsidRPr="007D0056" w:rsidRDefault="008A2E32">
      <w:pPr>
        <w:pStyle w:val="Notedebasdepage"/>
      </w:pPr>
      <w:r>
        <w:rPr>
          <w:rStyle w:val="Appelnotedebasdep"/>
        </w:rPr>
        <w:footnoteRef/>
      </w:r>
      <w:r>
        <w:t xml:space="preserve"> </w:t>
      </w:r>
      <w:hyperlink r:id="rId18" w:history="1">
        <w:r w:rsidRPr="00A94856">
          <w:rPr>
            <w:rStyle w:val="Lienhypertexte"/>
          </w:rPr>
          <w:t>http://www.rti-rating.org/view_country/?country_name=Tunisia</w:t>
        </w:r>
      </w:hyperlink>
    </w:p>
  </w:footnote>
  <w:footnote w:id="24">
    <w:p w14:paraId="07E85C21" w14:textId="55C57855" w:rsidR="008A2E32" w:rsidRDefault="008A2E32">
      <w:pPr>
        <w:pStyle w:val="Notedebasdepage"/>
      </w:pPr>
      <w:r>
        <w:rPr>
          <w:rStyle w:val="Appelnotedebasdep"/>
        </w:rPr>
        <w:footnoteRef/>
      </w:r>
      <w:r>
        <w:t xml:space="preserve"> </w:t>
      </w:r>
      <w:hyperlink r:id="rId19" w:history="1">
        <w:r w:rsidRPr="00166194">
          <w:rPr>
            <w:rStyle w:val="Lienhypertexte"/>
          </w:rPr>
          <w:t>https://drive.google.com/file/d/0BzNdbHdyT-Y3dFVVODVWNnFrVzQ/view</w:t>
        </w:r>
      </w:hyperlink>
      <w:r>
        <w:rPr>
          <w:rStyle w:val="Lienhypertexte"/>
        </w:rPr>
        <w:t xml:space="preserve"> </w:t>
      </w:r>
    </w:p>
  </w:footnote>
  <w:footnote w:id="25">
    <w:p w14:paraId="4EC2B884" w14:textId="2936706A" w:rsidR="008A2E32" w:rsidRDefault="008A2E32">
      <w:pPr>
        <w:pStyle w:val="Notedebasdepage"/>
      </w:pPr>
      <w:r>
        <w:rPr>
          <w:rStyle w:val="Appelnotedebasdep"/>
        </w:rPr>
        <w:footnoteRef/>
      </w:r>
      <w:r>
        <w:t xml:space="preserve"> </w:t>
      </w:r>
      <w:hyperlink r:id="rId20" w:history="1">
        <w:r w:rsidRPr="004D3F50">
          <w:rPr>
            <w:rStyle w:val="Lienhypertexte"/>
          </w:rPr>
          <w:t>https://www.opengovpartnership.org/countries/tunisia</w:t>
        </w:r>
      </w:hyperlink>
      <w:r>
        <w:t xml:space="preserve"> </w:t>
      </w:r>
    </w:p>
  </w:footnote>
  <w:footnote w:id="26">
    <w:p w14:paraId="48BF6C58" w14:textId="40C38FF7" w:rsidR="008A2E32" w:rsidRDefault="008A2E32">
      <w:pPr>
        <w:pStyle w:val="Notedebasdepage"/>
      </w:pPr>
      <w:r>
        <w:rPr>
          <w:rStyle w:val="Appelnotedebasdep"/>
        </w:rPr>
        <w:footnoteRef/>
      </w:r>
      <w:r>
        <w:t xml:space="preserve"> </w:t>
      </w:r>
      <w:hyperlink r:id="rId21" w:history="1">
        <w:r w:rsidRPr="004D3F50">
          <w:rPr>
            <w:rStyle w:val="Lienhypertexte"/>
          </w:rPr>
          <w:t>https://eiti.org/fr/news/tunisie-sengage-envers-transparence-ressources</w:t>
        </w:r>
      </w:hyperlink>
      <w:r>
        <w:t xml:space="preserve"> </w:t>
      </w:r>
    </w:p>
  </w:footnote>
  <w:footnote w:id="27">
    <w:p w14:paraId="00640DB7" w14:textId="08CE06E5" w:rsidR="008A2E32" w:rsidRDefault="008A2E32">
      <w:pPr>
        <w:pStyle w:val="Notedebasdepage"/>
      </w:pPr>
      <w:r>
        <w:rPr>
          <w:rStyle w:val="Appelnotedebasdep"/>
        </w:rPr>
        <w:footnoteRef/>
      </w:r>
      <w:r>
        <w:t xml:space="preserve"> </w:t>
      </w:r>
      <w:hyperlink r:id="rId22" w:history="1">
        <w:r w:rsidRPr="004D3F50">
          <w:rPr>
            <w:rStyle w:val="Lienhypertexte"/>
          </w:rPr>
          <w:t>http://wbi.worldbank.org/boost/fr/country/tunisia</w:t>
        </w:r>
      </w:hyperlink>
      <w:r>
        <w:t xml:space="preserve"> </w:t>
      </w:r>
    </w:p>
  </w:footnote>
  <w:footnote w:id="28">
    <w:p w14:paraId="71A600F0" w14:textId="1E2B7474" w:rsidR="008A2E32" w:rsidRDefault="008A2E32">
      <w:pPr>
        <w:pStyle w:val="Notedebasdepage"/>
      </w:pPr>
      <w:r>
        <w:rPr>
          <w:rStyle w:val="Appelnotedebasdep"/>
        </w:rPr>
        <w:footnoteRef/>
      </w:r>
      <w:r>
        <w:t xml:space="preserve"> </w:t>
      </w:r>
      <w:hyperlink r:id="rId23" w:history="1">
        <w:r w:rsidRPr="004D3F50">
          <w:rPr>
            <w:rStyle w:val="Lienhypertexte"/>
          </w:rPr>
          <w:t>http://fr.data.gov.tn/</w:t>
        </w:r>
      </w:hyperlink>
      <w:r>
        <w:t xml:space="preserve"> </w:t>
      </w:r>
    </w:p>
  </w:footnote>
  <w:footnote w:id="29">
    <w:p w14:paraId="5894B7C9" w14:textId="272CE8E3" w:rsidR="008A2E32" w:rsidRDefault="008A2E32">
      <w:pPr>
        <w:pStyle w:val="Notedebasdepage"/>
      </w:pPr>
      <w:r>
        <w:rPr>
          <w:rStyle w:val="Appelnotedebasdep"/>
        </w:rPr>
        <w:footnoteRef/>
      </w:r>
      <w:r>
        <w:t xml:space="preserve"> </w:t>
      </w:r>
      <w:hyperlink r:id="rId24" w:history="1">
        <w:r w:rsidRPr="00780959">
          <w:rPr>
            <w:rStyle w:val="Lienhypertexte"/>
          </w:rPr>
          <w:t>http://www.gbo.tn/</w:t>
        </w:r>
      </w:hyperlink>
      <w:r>
        <w:t xml:space="preserve"> </w:t>
      </w:r>
    </w:p>
  </w:footnote>
  <w:footnote w:id="30">
    <w:p w14:paraId="167DA725" w14:textId="7051FAC1" w:rsidR="008A2E32" w:rsidRDefault="008A2E32">
      <w:pPr>
        <w:pStyle w:val="Notedebasdepage"/>
      </w:pPr>
      <w:r>
        <w:rPr>
          <w:rStyle w:val="Appelnotedebasdep"/>
        </w:rPr>
        <w:footnoteRef/>
      </w:r>
      <w:r>
        <w:t xml:space="preserve"> </w:t>
      </w:r>
      <w:hyperlink r:id="rId25" w:history="1">
        <w:r w:rsidRPr="006636AE">
          <w:rPr>
            <w:rStyle w:val="Lienhypertexte"/>
          </w:rPr>
          <w:t>http://villedesayada.tn/fr/OpenData</w:t>
        </w:r>
      </w:hyperlink>
      <w:r>
        <w:t xml:space="preserve"> </w:t>
      </w:r>
      <w:r w:rsidRPr="00947FC4">
        <w:t xml:space="preserve"> </w:t>
      </w:r>
      <w:r>
        <w:t xml:space="preserve">  </w:t>
      </w:r>
    </w:p>
  </w:footnote>
  <w:footnote w:id="31">
    <w:p w14:paraId="4AF55864" w14:textId="665C5BB9" w:rsidR="008A2E32" w:rsidRDefault="008A2E32">
      <w:pPr>
        <w:pStyle w:val="Notedebasdepage"/>
      </w:pPr>
      <w:r>
        <w:rPr>
          <w:rStyle w:val="Appelnotedebasdep"/>
        </w:rPr>
        <w:footnoteRef/>
      </w:r>
      <w:r>
        <w:t xml:space="preserve"> </w:t>
      </w:r>
      <w:hyperlink r:id="rId26" w:history="1">
        <w:r w:rsidRPr="004D3F50">
          <w:rPr>
            <w:rStyle w:val="Lienhypertexte"/>
          </w:rPr>
          <w:t>http://clibre.tn/2015/02/open-data-day-2015/</w:t>
        </w:r>
      </w:hyperlink>
      <w:r>
        <w:t xml:space="preserve"> </w:t>
      </w:r>
    </w:p>
  </w:footnote>
  <w:footnote w:id="32">
    <w:p w14:paraId="0FF11AA9" w14:textId="01BCB1D9" w:rsidR="008A2E32" w:rsidRDefault="008A2E32">
      <w:pPr>
        <w:pStyle w:val="Notedebasdepage"/>
      </w:pPr>
      <w:r>
        <w:rPr>
          <w:rStyle w:val="Appelnotedebasdep"/>
        </w:rPr>
        <w:footnoteRef/>
      </w:r>
      <w:r>
        <w:t xml:space="preserve"> </w:t>
      </w:r>
      <w:r w:rsidRPr="00FF0ED5">
        <w:t>http://www.huffpostmaghreb.com/2017/09/30/i-watch--pas-moins-de-22-_n_18146668.html</w:t>
      </w:r>
    </w:p>
  </w:footnote>
  <w:footnote w:id="33">
    <w:p w14:paraId="22256CDE" w14:textId="0EDDEFFD" w:rsidR="008A2E32" w:rsidRDefault="008A2E32">
      <w:pPr>
        <w:pStyle w:val="Notedebasdepage"/>
      </w:pPr>
      <w:r>
        <w:rPr>
          <w:rStyle w:val="Appelnotedebasdep"/>
        </w:rPr>
        <w:footnoteRef/>
      </w:r>
      <w:r>
        <w:t xml:space="preserve"> </w:t>
      </w:r>
      <w:hyperlink r:id="rId27" w:history="1">
        <w:r w:rsidRPr="00780959">
          <w:rPr>
            <w:rStyle w:val="Lienhypertexte"/>
          </w:rPr>
          <w:t>http://opendatabarometer.org/</w:t>
        </w:r>
      </w:hyperlink>
      <w:r>
        <w:t xml:space="preserve"> </w:t>
      </w:r>
    </w:p>
  </w:footnote>
  <w:footnote w:id="34">
    <w:p w14:paraId="6CF01D37" w14:textId="37B3F01C" w:rsidR="008A2E32" w:rsidRDefault="008A2E32">
      <w:pPr>
        <w:pStyle w:val="Notedebasdepage"/>
      </w:pPr>
      <w:r>
        <w:rPr>
          <w:rStyle w:val="Appelnotedebasdep"/>
        </w:rPr>
        <w:footnoteRef/>
      </w:r>
      <w:r>
        <w:t xml:space="preserve"> </w:t>
      </w:r>
      <w:hyperlink r:id="rId28" w:history="1">
        <w:r w:rsidRPr="00166194">
          <w:rPr>
            <w:rStyle w:val="Lienhypertexte"/>
          </w:rPr>
          <w:t>http://www.tunisieindustrie.nat.tn/fr/download/news/2017/smart/11.pdf</w:t>
        </w:r>
      </w:hyperlink>
      <w:r>
        <w:rPr>
          <w:rStyle w:val="Lienhypertexte"/>
        </w:rPr>
        <w:t xml:space="preserve"> </w:t>
      </w:r>
    </w:p>
  </w:footnote>
  <w:footnote w:id="35">
    <w:p w14:paraId="312C780E" w14:textId="1DF605F3" w:rsidR="008A2E32" w:rsidRDefault="008A2E32">
      <w:pPr>
        <w:pStyle w:val="Notedebasdepage"/>
      </w:pPr>
      <w:r>
        <w:rPr>
          <w:rStyle w:val="Appelnotedebasdep"/>
        </w:rPr>
        <w:footnoteRef/>
      </w:r>
      <w:r>
        <w:t xml:space="preserve"> </w:t>
      </w:r>
      <w:hyperlink r:id="rId29" w:history="1">
        <w:r w:rsidRPr="00166194">
          <w:rPr>
            <w:rStyle w:val="Lienhypertexte"/>
          </w:rPr>
          <w:t>https://www.opengovpartnership.org/sites/default/files/Tunisia_National-Action-Plan-2_2016-2018_ENG.docx</w:t>
        </w:r>
      </w:hyperlink>
    </w:p>
  </w:footnote>
  <w:footnote w:id="36">
    <w:p w14:paraId="402059F5" w14:textId="77777777" w:rsidR="008A2E32" w:rsidRDefault="008A2E32">
      <w:pPr>
        <w:pStyle w:val="Notedebasdepage"/>
      </w:pPr>
      <w:r>
        <w:rPr>
          <w:rStyle w:val="Appelnotedebasdep"/>
        </w:rPr>
        <w:footnoteRef/>
      </w:r>
      <w:r>
        <w:t xml:space="preserve"> </w:t>
      </w:r>
      <w:hyperlink r:id="rId30" w:history="1">
        <w:r w:rsidRPr="009972A8">
          <w:rPr>
            <w:rStyle w:val="Lienhypertexte"/>
          </w:rPr>
          <w:t>http://www.opengovpartnership.org/</w:t>
        </w:r>
      </w:hyperlink>
      <w:r>
        <w:t xml:space="preserve"> </w:t>
      </w:r>
    </w:p>
  </w:footnote>
  <w:footnote w:id="37">
    <w:p w14:paraId="163AFE7C" w14:textId="27F6EEC0" w:rsidR="008A2E32" w:rsidRDefault="008A2E32">
      <w:pPr>
        <w:pStyle w:val="Notedebasdepage"/>
      </w:pPr>
      <w:r>
        <w:rPr>
          <w:rStyle w:val="Appelnotedebasdep"/>
        </w:rPr>
        <w:footnoteRef/>
      </w:r>
      <w:r>
        <w:t xml:space="preserve"> </w:t>
      </w:r>
      <w:hyperlink r:id="rId31" w:history="1">
        <w:r w:rsidRPr="004D3F50">
          <w:rPr>
            <w:rStyle w:val="Lienhypertexte"/>
          </w:rPr>
          <w:t>http://www.ogptunisie.gov.tn/index.php?option=com_content&amp;view=featured&amp;Itemid=101</w:t>
        </w:r>
      </w:hyperlink>
      <w:r>
        <w:t xml:space="preserve"> </w:t>
      </w:r>
    </w:p>
  </w:footnote>
  <w:footnote w:id="38">
    <w:p w14:paraId="7C9F7D23" w14:textId="5C0E73BE" w:rsidR="008A2E32" w:rsidRDefault="008A2E32">
      <w:pPr>
        <w:pStyle w:val="Notedebasdepage"/>
      </w:pPr>
      <w:r>
        <w:rPr>
          <w:rStyle w:val="Appelnotedebasdep"/>
        </w:rPr>
        <w:footnoteRef/>
      </w:r>
      <w:r>
        <w:t xml:space="preserve"> </w:t>
      </w:r>
      <w:hyperlink r:id="rId32" w:history="1">
        <w:r w:rsidRPr="00780959">
          <w:rPr>
            <w:rStyle w:val="Lienhypertexte"/>
          </w:rPr>
          <w:t>http://legislation-securite.tn/node/54900/201220octobre%202016</w:t>
        </w:r>
      </w:hyperlink>
      <w:r>
        <w:t xml:space="preserve"> </w:t>
      </w:r>
    </w:p>
  </w:footnote>
  <w:footnote w:id="39">
    <w:p w14:paraId="0F795B92" w14:textId="1EBCD126" w:rsidR="008A2E32" w:rsidRDefault="008A2E32">
      <w:pPr>
        <w:pStyle w:val="Notedebasdepage"/>
      </w:pPr>
      <w:r>
        <w:rPr>
          <w:rStyle w:val="Appelnotedebasdep"/>
        </w:rPr>
        <w:footnoteRef/>
      </w:r>
      <w:r>
        <w:t xml:space="preserve"> </w:t>
      </w:r>
      <w:hyperlink r:id="rId33" w:anchor="toc-5" w:history="1">
        <w:r w:rsidRPr="00A94856">
          <w:rPr>
            <w:rStyle w:val="Lienhypertexte"/>
          </w:rPr>
          <w:t>https://www.privacyinternational.org/node/966#toc-5</w:t>
        </w:r>
      </w:hyperlink>
      <w:r>
        <w:t xml:space="preserve"> </w:t>
      </w:r>
    </w:p>
  </w:footnote>
  <w:footnote w:id="40">
    <w:p w14:paraId="69910F9A" w14:textId="434672FE" w:rsidR="008A2E32" w:rsidRDefault="008A2E32" w:rsidP="00037981">
      <w:pPr>
        <w:pStyle w:val="Notedebasdepage"/>
      </w:pPr>
      <w:r>
        <w:rPr>
          <w:rStyle w:val="Appelnotedebasdep"/>
        </w:rPr>
        <w:footnoteRef/>
      </w:r>
      <w:r>
        <w:t xml:space="preserve"> </w:t>
      </w:r>
      <w:r w:rsidRPr="00037981">
        <w:t>Décret Présidentiel n° 2017-75 du 30 mai 2017, portant ratification de l’adhésion de la République Tunisienne à la convention n° 108 du conseil de l'Europe pour la protection des personnes à l’égard du traitement automatisé des données à caractère personnel et de son protocole additionnel n° 181 concernant les autorités de contrôle et les flux transfrontières de données.</w:t>
      </w:r>
    </w:p>
  </w:footnote>
  <w:footnote w:id="41">
    <w:p w14:paraId="3D1CE600" w14:textId="1398DA1B" w:rsidR="008A2E32" w:rsidRDefault="008A2E32">
      <w:pPr>
        <w:pStyle w:val="Notedebasdepage"/>
      </w:pPr>
      <w:r>
        <w:rPr>
          <w:rStyle w:val="Appelnotedebasdep"/>
        </w:rPr>
        <w:footnoteRef/>
      </w:r>
      <w:r>
        <w:t xml:space="preserve"> </w:t>
      </w:r>
      <w:hyperlink r:id="rId34" w:history="1">
        <w:r w:rsidRPr="00A94856">
          <w:rPr>
            <w:rStyle w:val="Lienhypertexte"/>
          </w:rPr>
          <w:t>http://www.inpdp.nat.tn/Projet_PDP_2017.pdf</w:t>
        </w:r>
      </w:hyperlink>
      <w:r>
        <w:t xml:space="preserve"> </w:t>
      </w:r>
    </w:p>
  </w:footnote>
  <w:footnote w:id="42">
    <w:p w14:paraId="2C6970CD" w14:textId="7FE3D354" w:rsidR="008A2E32" w:rsidRDefault="008A2E32">
      <w:pPr>
        <w:pStyle w:val="Notedebasdepage"/>
      </w:pPr>
      <w:r>
        <w:rPr>
          <w:rStyle w:val="Appelnotedebasdep"/>
        </w:rPr>
        <w:footnoteRef/>
      </w:r>
      <w:r>
        <w:t xml:space="preserve"> </w:t>
      </w:r>
      <w:hyperlink r:id="rId35" w:history="1">
        <w:r w:rsidRPr="00780959">
          <w:rPr>
            <w:rStyle w:val="Lienhypertexte"/>
          </w:rPr>
          <w:t>http://eur-lex.europa.eu/legal-content/FR/TXT/PDF/?uri=CELEX:32016R0679&amp;from=FR</w:t>
        </w:r>
      </w:hyperlink>
      <w:r>
        <w:t xml:space="preserve"> </w:t>
      </w:r>
    </w:p>
  </w:footnote>
  <w:footnote w:id="43">
    <w:p w14:paraId="6820A63D" w14:textId="7E1701DC" w:rsidR="008A2E32" w:rsidRDefault="008A2E32">
      <w:pPr>
        <w:pStyle w:val="Notedebasdepage"/>
      </w:pPr>
      <w:r>
        <w:rPr>
          <w:rStyle w:val="Appelnotedebasdep"/>
        </w:rPr>
        <w:footnoteRef/>
      </w:r>
      <w:r>
        <w:t xml:space="preserve"> </w:t>
      </w:r>
      <w:hyperlink r:id="rId36" w:history="1">
        <w:r w:rsidRPr="00A94856">
          <w:rPr>
            <w:rStyle w:val="Lienhypertexte"/>
          </w:rPr>
          <w:t>http://www.inpdp.nat.tn/textes.xhtml</w:t>
        </w:r>
      </w:hyperlink>
      <w:r>
        <w:t xml:space="preserve"> </w:t>
      </w:r>
    </w:p>
  </w:footnote>
  <w:footnote w:id="44">
    <w:p w14:paraId="4C2A14B6" w14:textId="1E618330" w:rsidR="008A2E32" w:rsidRDefault="008A2E32" w:rsidP="00F80D72">
      <w:pPr>
        <w:pStyle w:val="Notedebasdepage"/>
      </w:pPr>
      <w:r>
        <w:rPr>
          <w:rStyle w:val="Appelnotedebasdep"/>
        </w:rPr>
        <w:footnoteRef/>
      </w:r>
      <w:r>
        <w:t xml:space="preserve"> </w:t>
      </w:r>
      <w:hyperlink r:id="rId37" w:history="1">
        <w:r w:rsidRPr="00F80D72">
          <w:rPr>
            <w:rStyle w:val="Lienhypertexte"/>
          </w:rPr>
          <w:t>Décret-loi n° 2011-41 du 26 mai 2011, relatif à l’accès aux documents administratifs des organismes publics</w:t>
        </w:r>
      </w:hyperlink>
    </w:p>
    <w:p w14:paraId="4B3086EA" w14:textId="05A446BF" w:rsidR="008A2E32" w:rsidRDefault="008A2E32" w:rsidP="00F80D72">
      <w:pPr>
        <w:pStyle w:val="Notedebasdepage"/>
      </w:pPr>
      <w:r>
        <w:t xml:space="preserve">&amp; </w:t>
      </w:r>
      <w:hyperlink r:id="rId38" w:history="1">
        <w:r w:rsidRPr="00F80D72">
          <w:rPr>
            <w:rStyle w:val="Lienhypertexte"/>
          </w:rPr>
          <w:t>Décret-loi n° 2011-54 du 11 juin 2011, modifiant et complétant le décret-loi n° 2011- 41 du 26 mai 2011 relatif à l'accès aux documents administratifs des organismes publics</w:t>
        </w:r>
      </w:hyperlink>
      <w:r>
        <w:t>.</w:t>
      </w:r>
    </w:p>
  </w:footnote>
  <w:footnote w:id="45">
    <w:p w14:paraId="33C7F5A5" w14:textId="23DD8CC4" w:rsidR="008A2E32" w:rsidRDefault="008A2E32">
      <w:pPr>
        <w:pStyle w:val="Notedebasdepage"/>
      </w:pPr>
      <w:r>
        <w:rPr>
          <w:rStyle w:val="Appelnotedebasdep"/>
        </w:rPr>
        <w:footnoteRef/>
      </w:r>
      <w:r>
        <w:t xml:space="preserve"> </w:t>
      </w:r>
      <w:hyperlink r:id="rId39" w:history="1">
        <w:r w:rsidRPr="00A94856">
          <w:rPr>
            <w:rStyle w:val="Lienhypertexte"/>
          </w:rPr>
          <w:t>http://www.rti-rating.org/view_country/?country_name=Tunisia</w:t>
        </w:r>
      </w:hyperlink>
      <w:r>
        <w:t xml:space="preserve"> </w:t>
      </w:r>
    </w:p>
  </w:footnote>
  <w:footnote w:id="46">
    <w:p w14:paraId="4F1CAD6C" w14:textId="582F2035" w:rsidR="008A2E32" w:rsidRDefault="008A2E32">
      <w:pPr>
        <w:pStyle w:val="Notedebasdepage"/>
      </w:pPr>
      <w:r>
        <w:rPr>
          <w:rStyle w:val="Appelnotedebasdep"/>
        </w:rPr>
        <w:footnoteRef/>
      </w:r>
      <w:r>
        <w:t xml:space="preserve"> </w:t>
      </w:r>
      <w:r w:rsidRPr="00A25098">
        <w:t>http://www.huffpostmaghreb.com/2017/09/30/i-watch--pas-moins-de-22-_n_18146668.html</w:t>
      </w:r>
    </w:p>
  </w:footnote>
  <w:footnote w:id="47">
    <w:p w14:paraId="3744FB91" w14:textId="51B3F752" w:rsidR="008A2E32" w:rsidRDefault="008A2E32">
      <w:pPr>
        <w:pStyle w:val="Notedebasdepage"/>
      </w:pPr>
      <w:r>
        <w:rPr>
          <w:rStyle w:val="Appelnotedebasdep"/>
        </w:rPr>
        <w:footnoteRef/>
      </w:r>
      <w:r>
        <w:t xml:space="preserve"> </w:t>
      </w:r>
      <w:hyperlink r:id="rId40" w:history="1">
        <w:r w:rsidRPr="00780959">
          <w:rPr>
            <w:rStyle w:val="Lienhypertexte"/>
          </w:rPr>
          <w:t>http://legislation-securite.tn/node/55161</w:t>
        </w:r>
      </w:hyperlink>
      <w:r>
        <w:t xml:space="preserve"> </w:t>
      </w:r>
    </w:p>
  </w:footnote>
  <w:footnote w:id="48">
    <w:p w14:paraId="0A04D885" w14:textId="2C4E0343" w:rsidR="008A2E32" w:rsidRDefault="008A2E32">
      <w:pPr>
        <w:pStyle w:val="Notedebasdepage"/>
      </w:pPr>
      <w:r>
        <w:rPr>
          <w:rStyle w:val="Appelnotedebasdep"/>
        </w:rPr>
        <w:footnoteRef/>
      </w:r>
      <w:r>
        <w:t xml:space="preserve"> </w:t>
      </w:r>
      <w:hyperlink r:id="rId41" w:history="1">
        <w:r w:rsidRPr="00780959">
          <w:rPr>
            <w:rStyle w:val="Lienhypertexte"/>
          </w:rPr>
          <w:t>https://www.article19.org/resources.php/resource/38624/fr/tunisie:-la-circulaire-du-pr%EF%BF%BD%C2%A9sident-du-gouvernement-r%EF%BF%BD%C2%A9gissant-le-travail-des-cellules-d%E2%80%99information-et-de-communications-menace-la-libert%EF%BF%BD%C2%A9-d%E2%80%99expression-et-le-droit-d%E2%80%99acc%EF%BF%BD%C2%A8s-%EF%BF%BD%C2%A0-l%E2%80%99information</w:t>
        </w:r>
      </w:hyperlink>
      <w:r>
        <w:t xml:space="preserve"> </w:t>
      </w:r>
    </w:p>
  </w:footnote>
  <w:footnote w:id="49">
    <w:p w14:paraId="29C05961" w14:textId="62CF9460" w:rsidR="008A2E32" w:rsidRDefault="008A2E32">
      <w:pPr>
        <w:pStyle w:val="Notedebasdepage"/>
      </w:pPr>
      <w:r>
        <w:rPr>
          <w:rStyle w:val="Appelnotedebasdep"/>
        </w:rPr>
        <w:footnoteRef/>
      </w:r>
      <w:r>
        <w:t xml:space="preserve"> </w:t>
      </w:r>
      <w:hyperlink r:id="rId42" w:history="1">
        <w:r w:rsidRPr="00780959">
          <w:rPr>
            <w:rStyle w:val="Lienhypertexte"/>
          </w:rPr>
          <w:t>https://fr.wikipedia.org/wiki/Licence_CC0</w:t>
        </w:r>
      </w:hyperlink>
      <w:r>
        <w:t xml:space="preserve"> </w:t>
      </w:r>
    </w:p>
  </w:footnote>
  <w:footnote w:id="50">
    <w:p w14:paraId="222C027B" w14:textId="77777777" w:rsidR="008A2E32" w:rsidRDefault="008A2E32" w:rsidP="00AA19FE">
      <w:pPr>
        <w:pStyle w:val="Notedebasdepage"/>
      </w:pPr>
      <w:r>
        <w:rPr>
          <w:rStyle w:val="Appelnotedebasdep"/>
        </w:rPr>
        <w:footnoteRef/>
      </w:r>
      <w:r>
        <w:t xml:space="preserve"> </w:t>
      </w:r>
      <w:hyperlink r:id="rId43" w:history="1">
        <w:r w:rsidRPr="00A94856">
          <w:rPr>
            <w:rStyle w:val="Lienhypertexte"/>
          </w:rPr>
          <w:t>http://www.registre-commerce.tn/search/StaticPage.do?page=tarifs</w:t>
        </w:r>
      </w:hyperlink>
      <w:r>
        <w:t xml:space="preserve"> </w:t>
      </w:r>
    </w:p>
  </w:footnote>
  <w:footnote w:id="51">
    <w:p w14:paraId="6926B075" w14:textId="67BAC713" w:rsidR="008A2E32" w:rsidRDefault="008A2E32">
      <w:pPr>
        <w:pStyle w:val="Notedebasdepage"/>
      </w:pPr>
      <w:r>
        <w:rPr>
          <w:rStyle w:val="Appelnotedebasdep"/>
        </w:rPr>
        <w:footnoteRef/>
      </w:r>
      <w:r>
        <w:t xml:space="preserve"> </w:t>
      </w:r>
      <w:hyperlink r:id="rId44" w:history="1">
        <w:r w:rsidRPr="009F5D07">
          <w:rPr>
            <w:rStyle w:val="Lienhypertexte"/>
          </w:rPr>
          <w:t>https://cms.eolas.fr/</w:t>
        </w:r>
      </w:hyperlink>
      <w:r>
        <w:t xml:space="preserve"> </w:t>
      </w:r>
    </w:p>
  </w:footnote>
  <w:footnote w:id="52">
    <w:p w14:paraId="7C31FE96" w14:textId="5EEBF231" w:rsidR="008A2E32" w:rsidRDefault="008A2E32">
      <w:pPr>
        <w:pStyle w:val="Notedebasdepage"/>
      </w:pPr>
      <w:r>
        <w:rPr>
          <w:rStyle w:val="Appelnotedebasdep"/>
        </w:rPr>
        <w:footnoteRef/>
      </w:r>
      <w:r>
        <w:t xml:space="preserve"> </w:t>
      </w:r>
      <w:hyperlink r:id="rId45" w:history="1">
        <w:r w:rsidRPr="00A94856">
          <w:rPr>
            <w:rStyle w:val="Lienhypertexte"/>
          </w:rPr>
          <w:t>http://www.ins.tn/</w:t>
        </w:r>
      </w:hyperlink>
      <w:r>
        <w:t xml:space="preserve"> </w:t>
      </w:r>
    </w:p>
  </w:footnote>
  <w:footnote w:id="53">
    <w:p w14:paraId="1BB66BAB" w14:textId="3FC3505D" w:rsidR="008A2E32" w:rsidRDefault="008A2E32">
      <w:pPr>
        <w:pStyle w:val="Notedebasdepage"/>
      </w:pPr>
      <w:r>
        <w:rPr>
          <w:rStyle w:val="Appelnotedebasdep"/>
        </w:rPr>
        <w:footnoteRef/>
      </w:r>
      <w:r>
        <w:t xml:space="preserve"> </w:t>
      </w:r>
      <w:hyperlink r:id="rId46" w:history="1">
        <w:r w:rsidRPr="00A94856">
          <w:rPr>
            <w:rStyle w:val="Lienhypertexte"/>
          </w:rPr>
          <w:t>http://odin.opendatawatch.com/Report/countryProfile/TUN?appConfigId=3</w:t>
        </w:r>
      </w:hyperlink>
      <w:r>
        <w:t xml:space="preserve"> </w:t>
      </w:r>
    </w:p>
  </w:footnote>
  <w:footnote w:id="54">
    <w:p w14:paraId="49064653" w14:textId="1EB4DDD5" w:rsidR="008A2E32" w:rsidRDefault="008A2E32" w:rsidP="00B679B6">
      <w:pPr>
        <w:pStyle w:val="Notedebasdepage"/>
        <w:spacing w:after="120"/>
      </w:pPr>
      <w:r>
        <w:rPr>
          <w:rStyle w:val="Appelnotedebasdep"/>
        </w:rPr>
        <w:footnoteRef/>
      </w:r>
      <w:r>
        <w:t xml:space="preserve"> </w:t>
      </w:r>
      <w:hyperlink r:id="rId47" w:history="1">
        <w:r w:rsidRPr="00A94856">
          <w:rPr>
            <w:rStyle w:val="Lienhypertexte"/>
          </w:rPr>
          <w:t>https://www.facebook.com/pg/Presidencedugouvernementtunisien/about/</w:t>
        </w:r>
      </w:hyperlink>
      <w:r>
        <w:t xml:space="preserve"> </w:t>
      </w:r>
    </w:p>
  </w:footnote>
  <w:footnote w:id="55">
    <w:p w14:paraId="231D9870" w14:textId="62432BE8" w:rsidR="008A2E32" w:rsidRDefault="008A2E32">
      <w:pPr>
        <w:pStyle w:val="Notedebasdepage"/>
      </w:pPr>
      <w:r>
        <w:rPr>
          <w:rStyle w:val="Appelnotedebasdep"/>
        </w:rPr>
        <w:footnoteRef/>
      </w:r>
      <w:r>
        <w:t xml:space="preserve"> </w:t>
      </w:r>
      <w:hyperlink r:id="rId48" w:history="1">
        <w:r w:rsidRPr="00A94856">
          <w:rPr>
            <w:rStyle w:val="Lienhypertexte"/>
          </w:rPr>
          <w:t>http://www.mincom.tn/index.php?id=1751</w:t>
        </w:r>
      </w:hyperlink>
      <w:r>
        <w:t xml:space="preserve"> </w:t>
      </w:r>
    </w:p>
  </w:footnote>
  <w:footnote w:id="56">
    <w:p w14:paraId="084C3010" w14:textId="3E6F0015" w:rsidR="008A2E32" w:rsidRDefault="008A2E32">
      <w:pPr>
        <w:pStyle w:val="Notedebasdepage"/>
      </w:pPr>
      <w:r>
        <w:rPr>
          <w:rStyle w:val="Appelnotedebasdep"/>
        </w:rPr>
        <w:footnoteRef/>
      </w:r>
      <w:r>
        <w:t xml:space="preserve"> </w:t>
      </w:r>
      <w:r w:rsidRPr="00054FB4">
        <w:t>http://www.legislation.tn/detailtexte/D%C3%A9cret-num-2013-1299-du-26-02-2013-jort-2013-020__2013020012993?shorten=4DiR</w:t>
      </w:r>
    </w:p>
  </w:footnote>
  <w:footnote w:id="57">
    <w:p w14:paraId="1215CCC7" w14:textId="7CA13383" w:rsidR="008A2E32" w:rsidRDefault="008A2E32">
      <w:pPr>
        <w:pStyle w:val="Notedebasdepage"/>
      </w:pPr>
      <w:r>
        <w:rPr>
          <w:rStyle w:val="Appelnotedebasdep"/>
        </w:rPr>
        <w:footnoteRef/>
      </w:r>
      <w:r>
        <w:t xml:space="preserve"> </w:t>
      </w:r>
      <w:hyperlink r:id="rId49" w:history="1">
        <w:r w:rsidRPr="00A94856">
          <w:rPr>
            <w:rStyle w:val="Lienhypertexte"/>
          </w:rPr>
          <w:t>http://wbi.worldbank.org/boost/country/tunisia</w:t>
        </w:r>
      </w:hyperlink>
      <w:r>
        <w:t xml:space="preserve">  </w:t>
      </w:r>
    </w:p>
  </w:footnote>
  <w:footnote w:id="58">
    <w:p w14:paraId="4292DA39" w14:textId="2C61DF37" w:rsidR="008A2E32" w:rsidRDefault="008A2E32">
      <w:pPr>
        <w:pStyle w:val="Notedebasdepage"/>
      </w:pPr>
      <w:r>
        <w:rPr>
          <w:rStyle w:val="Appelnotedebasdep"/>
        </w:rPr>
        <w:footnoteRef/>
      </w:r>
      <w:r>
        <w:t xml:space="preserve"> </w:t>
      </w:r>
      <w:hyperlink r:id="rId50" w:history="1">
        <w:r w:rsidRPr="00370112">
          <w:rPr>
            <w:rStyle w:val="Lienhypertexte"/>
          </w:rPr>
          <w:t>http://www.mizaniatouna.gov.tn/tunisia/template_fr/index.html</w:t>
        </w:r>
      </w:hyperlink>
    </w:p>
  </w:footnote>
  <w:footnote w:id="59">
    <w:p w14:paraId="4AB755D9" w14:textId="5D81F19F" w:rsidR="008A2E32" w:rsidRDefault="008A2E32">
      <w:pPr>
        <w:pStyle w:val="Notedebasdepage"/>
      </w:pPr>
      <w:r>
        <w:rPr>
          <w:rStyle w:val="Appelnotedebasdep"/>
        </w:rPr>
        <w:footnoteRef/>
      </w:r>
      <w:r>
        <w:t xml:space="preserve"> </w:t>
      </w:r>
      <w:hyperlink r:id="rId51" w:history="1">
        <w:r w:rsidRPr="00A94856">
          <w:rPr>
            <w:rStyle w:val="Lienhypertexte"/>
          </w:rPr>
          <w:t>https://eiti.org/fr/news/tunisie-sengage-envers-transparence-ressources</w:t>
        </w:r>
      </w:hyperlink>
      <w:r>
        <w:t xml:space="preserve"> </w:t>
      </w:r>
    </w:p>
  </w:footnote>
  <w:footnote w:id="60">
    <w:p w14:paraId="4118E692" w14:textId="3DA95F51" w:rsidR="008A2E32" w:rsidRDefault="008A2E32">
      <w:pPr>
        <w:pStyle w:val="Notedebasdepage"/>
      </w:pPr>
      <w:r>
        <w:rPr>
          <w:rStyle w:val="Appelnotedebasdep"/>
        </w:rPr>
        <w:footnoteRef/>
      </w:r>
      <w:r>
        <w:t xml:space="preserve"> </w:t>
      </w:r>
      <w:hyperlink r:id="rId52" w:history="1">
        <w:r w:rsidRPr="00370112">
          <w:rPr>
            <w:rStyle w:val="Lienhypertexte"/>
          </w:rPr>
          <w:t>http://catalog.industrie.gov.tn/</w:t>
        </w:r>
      </w:hyperlink>
      <w:r>
        <w:rPr>
          <w:rStyle w:val="Lienhypertexte"/>
        </w:rPr>
        <w:t xml:space="preserve"> </w:t>
      </w:r>
    </w:p>
  </w:footnote>
  <w:footnote w:id="61">
    <w:p w14:paraId="7071F4C8" w14:textId="7F305D9C" w:rsidR="008A2E32" w:rsidRDefault="008A2E32">
      <w:pPr>
        <w:pStyle w:val="Notedebasdepage"/>
      </w:pPr>
      <w:r>
        <w:rPr>
          <w:rStyle w:val="Appelnotedebasdep"/>
        </w:rPr>
        <w:footnoteRef/>
      </w:r>
      <w:r>
        <w:t xml:space="preserve"> </w:t>
      </w:r>
      <w:hyperlink r:id="rId53" w:history="1">
        <w:r w:rsidRPr="00370112">
          <w:rPr>
            <w:rStyle w:val="Lienhypertexte"/>
          </w:rPr>
          <w:t>http://villedesayada.tn/fr/OpenData</w:t>
        </w:r>
      </w:hyperlink>
      <w:r>
        <w:rPr>
          <w:rStyle w:val="Lienhypertexte"/>
        </w:rPr>
        <w:t xml:space="preserve"> </w:t>
      </w:r>
    </w:p>
  </w:footnote>
  <w:footnote w:id="62">
    <w:p w14:paraId="085630B1" w14:textId="37196A01" w:rsidR="008A2E32" w:rsidRDefault="008A2E32">
      <w:pPr>
        <w:pStyle w:val="Notedebasdepage"/>
      </w:pPr>
      <w:r>
        <w:rPr>
          <w:rStyle w:val="Appelnotedebasdep"/>
        </w:rPr>
        <w:footnoteRef/>
      </w:r>
      <w:r>
        <w:t xml:space="preserve"> </w:t>
      </w:r>
      <w:hyperlink r:id="rId54" w:history="1">
        <w:r w:rsidRPr="00A94856">
          <w:rPr>
            <w:rStyle w:val="Lienhypertexte"/>
          </w:rPr>
          <w:t>http://www.registre-commerce.tn/search/StaticPage.do?page=tarifs</w:t>
        </w:r>
      </w:hyperlink>
      <w:r>
        <w:t xml:space="preserve"> </w:t>
      </w:r>
    </w:p>
  </w:footnote>
  <w:footnote w:id="63">
    <w:p w14:paraId="79E9C6EF" w14:textId="64A3E24E" w:rsidR="008A2E32" w:rsidRDefault="008A2E32">
      <w:pPr>
        <w:pStyle w:val="Notedebasdepage"/>
      </w:pPr>
      <w:r>
        <w:rPr>
          <w:rStyle w:val="Appelnotedebasdep"/>
        </w:rPr>
        <w:footnoteRef/>
      </w:r>
      <w:r>
        <w:t xml:space="preserve"> </w:t>
      </w:r>
      <w:r w:rsidRPr="005A645F">
        <w:t>https://www.article19.org/index.php?lang=fr</w:t>
      </w:r>
    </w:p>
  </w:footnote>
  <w:footnote w:id="64">
    <w:p w14:paraId="6415B15A" w14:textId="440D33CB" w:rsidR="008A2E32" w:rsidRDefault="008A2E32">
      <w:pPr>
        <w:pStyle w:val="Notedebasdepage"/>
      </w:pPr>
      <w:r>
        <w:rPr>
          <w:rStyle w:val="Appelnotedebasdep"/>
        </w:rPr>
        <w:footnoteRef/>
      </w:r>
      <w:r>
        <w:t xml:space="preserve"> </w:t>
      </w:r>
      <w:hyperlink r:id="rId55" w:history="1">
        <w:r w:rsidRPr="00A94856">
          <w:rPr>
            <w:rStyle w:val="Lienhypertexte"/>
          </w:rPr>
          <w:t>http://www.albawsala.com/</w:t>
        </w:r>
      </w:hyperlink>
      <w:r>
        <w:t xml:space="preserve"> </w:t>
      </w:r>
    </w:p>
  </w:footnote>
  <w:footnote w:id="65">
    <w:p w14:paraId="0700D540" w14:textId="18C6D158" w:rsidR="008A2E32" w:rsidRDefault="008A2E32">
      <w:pPr>
        <w:pStyle w:val="Notedebasdepage"/>
      </w:pPr>
      <w:r>
        <w:rPr>
          <w:rStyle w:val="Appelnotedebasdep"/>
        </w:rPr>
        <w:footnoteRef/>
      </w:r>
      <w:r>
        <w:t xml:space="preserve"> </w:t>
      </w:r>
      <w:hyperlink r:id="rId56" w:history="1">
        <w:r w:rsidRPr="00370112">
          <w:rPr>
            <w:rStyle w:val="Lienhypertexte"/>
            <w:rFonts w:ascii="Calibri" w:hAnsi="Calibri" w:cs="Calibri"/>
          </w:rPr>
          <w:t>https://www.iwatch.tn/</w:t>
        </w:r>
      </w:hyperlink>
    </w:p>
  </w:footnote>
  <w:footnote w:id="66">
    <w:p w14:paraId="0DA06700" w14:textId="0612B791" w:rsidR="008A2E32" w:rsidRDefault="008A2E32">
      <w:pPr>
        <w:pStyle w:val="Notedebasdepage"/>
      </w:pPr>
      <w:r>
        <w:rPr>
          <w:rStyle w:val="Appelnotedebasdep"/>
        </w:rPr>
        <w:footnoteRef/>
      </w:r>
      <w:r>
        <w:t xml:space="preserve"> </w:t>
      </w:r>
      <w:hyperlink r:id="rId57" w:history="1">
        <w:r w:rsidRPr="00A94856">
          <w:rPr>
            <w:rStyle w:val="Lienhypertexte"/>
          </w:rPr>
          <w:t>http://atcp.org.tn/</w:t>
        </w:r>
      </w:hyperlink>
      <w:r>
        <w:t xml:space="preserve"> </w:t>
      </w:r>
    </w:p>
  </w:footnote>
  <w:footnote w:id="67">
    <w:p w14:paraId="7F70F6F1" w14:textId="7814710E" w:rsidR="008A2E32" w:rsidRDefault="008A2E32">
      <w:pPr>
        <w:pStyle w:val="Notedebasdepage"/>
      </w:pPr>
      <w:r>
        <w:rPr>
          <w:rStyle w:val="Appelnotedebasdep"/>
        </w:rPr>
        <w:footnoteRef/>
      </w:r>
      <w:r>
        <w:t xml:space="preserve"> </w:t>
      </w:r>
      <w:hyperlink r:id="rId58" w:history="1">
        <w:r w:rsidRPr="00780959">
          <w:rPr>
            <w:rStyle w:val="Lienhypertexte"/>
            <w:rFonts w:ascii="Calibri" w:hAnsi="Calibri" w:cs="Calibri"/>
            <w:sz w:val="22"/>
            <w:szCs w:val="22"/>
          </w:rPr>
          <w:t>http://www.cabrane.com/fr/</w:t>
        </w:r>
      </w:hyperlink>
      <w:r>
        <w:rPr>
          <w:rFonts w:ascii="Calibri" w:hAnsi="Calibri" w:cs="Calibri"/>
          <w:sz w:val="22"/>
          <w:szCs w:val="22"/>
        </w:rPr>
        <w:t xml:space="preserve"> </w:t>
      </w:r>
    </w:p>
  </w:footnote>
  <w:footnote w:id="68">
    <w:p w14:paraId="0FDC2571" w14:textId="29246E09" w:rsidR="008A2E32" w:rsidRDefault="008A2E32">
      <w:pPr>
        <w:pStyle w:val="Notedebasdepage"/>
      </w:pPr>
      <w:r>
        <w:rPr>
          <w:rStyle w:val="Appelnotedebasdep"/>
        </w:rPr>
        <w:footnoteRef/>
      </w:r>
      <w:r>
        <w:t xml:space="preserve"> </w:t>
      </w:r>
      <w:hyperlink r:id="rId59" w:history="1">
        <w:r w:rsidRPr="00370112">
          <w:rPr>
            <w:rStyle w:val="Lienhypertexte"/>
            <w:rFonts w:ascii="Calibri" w:hAnsi="Calibri" w:cs="Calibri"/>
            <w:sz w:val="22"/>
            <w:szCs w:val="22"/>
          </w:rPr>
          <w:t>http://clibre.tn/</w:t>
        </w:r>
      </w:hyperlink>
      <w:r>
        <w:rPr>
          <w:rStyle w:val="Lienhypertexte"/>
          <w:rFonts w:ascii="Calibri" w:hAnsi="Calibri" w:cs="Calibri"/>
          <w:sz w:val="22"/>
          <w:szCs w:val="22"/>
        </w:rPr>
        <w:t xml:space="preserve"> </w:t>
      </w:r>
    </w:p>
  </w:footnote>
  <w:footnote w:id="69">
    <w:p w14:paraId="761A8DFF" w14:textId="17574385" w:rsidR="008A2E32" w:rsidRDefault="008A2E32">
      <w:pPr>
        <w:pStyle w:val="Notedebasdepage"/>
      </w:pPr>
      <w:r>
        <w:rPr>
          <w:rStyle w:val="Appelnotedebasdep"/>
        </w:rPr>
        <w:footnoteRef/>
      </w:r>
      <w:r>
        <w:t xml:space="preserve"> </w:t>
      </w:r>
      <w:hyperlink r:id="rId60" w:anchor="Welcome" w:history="1">
        <w:r>
          <w:rPr>
            <w:rStyle w:val="Lienhypertexte"/>
            <w:rFonts w:ascii="Calibri" w:hAnsi="Calibri" w:cs="Calibri"/>
            <w:sz w:val="22"/>
            <w:szCs w:val="22"/>
          </w:rPr>
          <w:t>https://www.ma3louma.org/#Welcome</w:t>
        </w:r>
      </w:hyperlink>
      <w:r>
        <w:rPr>
          <w:rFonts w:ascii="Calibri" w:hAnsi="Calibri" w:cs="Calibri"/>
          <w:sz w:val="22"/>
          <w:szCs w:val="22"/>
        </w:rPr>
        <w:t xml:space="preserve"> </w:t>
      </w:r>
    </w:p>
  </w:footnote>
  <w:footnote w:id="70">
    <w:p w14:paraId="044F6EE8" w14:textId="2816A72D" w:rsidR="008A2E32" w:rsidRDefault="008A2E32">
      <w:pPr>
        <w:pStyle w:val="Notedebasdepage"/>
      </w:pPr>
      <w:r>
        <w:rPr>
          <w:rStyle w:val="Appelnotedebasdep"/>
        </w:rPr>
        <w:footnoteRef/>
      </w:r>
      <w:r>
        <w:t xml:space="preserve"> </w:t>
      </w:r>
      <w:hyperlink r:id="rId61" w:history="1">
        <w:r w:rsidRPr="00D3032A">
          <w:rPr>
            <w:rStyle w:val="Lienhypertexte"/>
          </w:rPr>
          <w:t>http://www.huffpostmaghreb.com/2017/01/04/dechets-poubelles-environ_n_13949880.html</w:t>
        </w:r>
      </w:hyperlink>
      <w:r>
        <w:t xml:space="preserve"> </w:t>
      </w:r>
    </w:p>
  </w:footnote>
  <w:footnote w:id="71">
    <w:p w14:paraId="79137AEE" w14:textId="51E13D74" w:rsidR="008A2E32" w:rsidRDefault="008A2E32">
      <w:pPr>
        <w:pStyle w:val="Notedebasdepage"/>
      </w:pPr>
      <w:r>
        <w:rPr>
          <w:rStyle w:val="Appelnotedebasdep"/>
        </w:rPr>
        <w:footnoteRef/>
      </w:r>
      <w:r>
        <w:t xml:space="preserve"> </w:t>
      </w:r>
      <w:hyperlink r:id="rId62" w:history="1">
        <w:r w:rsidRPr="00A94856">
          <w:rPr>
            <w:rStyle w:val="Lienhypertexte"/>
            <w:sz w:val="24"/>
          </w:rPr>
          <w:t>http://www.publishwhatyoupay.org/fr/members/tunisie/</w:t>
        </w:r>
      </w:hyperlink>
      <w:r>
        <w:rPr>
          <w:bCs/>
          <w:sz w:val="24"/>
        </w:rPr>
        <w:t xml:space="preserve"> </w:t>
      </w:r>
    </w:p>
  </w:footnote>
  <w:footnote w:id="72">
    <w:p w14:paraId="0FD657DF" w14:textId="19C2DD08" w:rsidR="008A2E32" w:rsidRDefault="008A2E32">
      <w:pPr>
        <w:pStyle w:val="Notedebasdepage"/>
      </w:pPr>
      <w:r>
        <w:rPr>
          <w:rStyle w:val="Appelnotedebasdep"/>
        </w:rPr>
        <w:footnoteRef/>
      </w:r>
      <w:r>
        <w:t xml:space="preserve"> </w:t>
      </w:r>
      <w:hyperlink r:id="rId63" w:history="1">
        <w:r w:rsidRPr="00A94856">
          <w:rPr>
            <w:rStyle w:val="Lienhypertexte"/>
          </w:rPr>
          <w:t>https://okfn.org/about/</w:t>
        </w:r>
      </w:hyperlink>
      <w:r>
        <w:t xml:space="preserve"> </w:t>
      </w:r>
    </w:p>
  </w:footnote>
  <w:footnote w:id="73">
    <w:p w14:paraId="7DD77694" w14:textId="7BD0C1C1" w:rsidR="008A2E32" w:rsidRDefault="008A2E32">
      <w:pPr>
        <w:pStyle w:val="Notedebasdepage"/>
      </w:pPr>
      <w:r>
        <w:rPr>
          <w:rStyle w:val="Appelnotedebasdep"/>
        </w:rPr>
        <w:footnoteRef/>
      </w:r>
      <w:r>
        <w:t xml:space="preserve"> </w:t>
      </w:r>
      <w:hyperlink r:id="rId64" w:history="1">
        <w:r w:rsidRPr="00A94856">
          <w:rPr>
            <w:rStyle w:val="Lienhypertexte"/>
          </w:rPr>
          <w:t>https://schoolofdata.org/2016/01/11/data-in-december-sharing-data-journalism-love-in-tunisia/</w:t>
        </w:r>
      </w:hyperlink>
      <w:r>
        <w:t xml:space="preserve"> </w:t>
      </w:r>
    </w:p>
  </w:footnote>
  <w:footnote w:id="74">
    <w:p w14:paraId="63E159F3" w14:textId="36C2B023" w:rsidR="008A2E32" w:rsidRDefault="008A2E32">
      <w:pPr>
        <w:pStyle w:val="Notedebasdepage"/>
      </w:pPr>
      <w:r>
        <w:rPr>
          <w:rStyle w:val="Appelnotedebasdep"/>
        </w:rPr>
        <w:footnoteRef/>
      </w:r>
      <w:r>
        <w:t xml:space="preserve"> </w:t>
      </w:r>
      <w:hyperlink r:id="rId65" w:history="1">
        <w:r w:rsidRPr="00780959">
          <w:rPr>
            <w:rStyle w:val="Lienhypertexte"/>
          </w:rPr>
          <w:t>http://www.datajournalism.tn/</w:t>
        </w:r>
      </w:hyperlink>
      <w:r>
        <w:t xml:space="preserve"> </w:t>
      </w:r>
    </w:p>
  </w:footnote>
  <w:footnote w:id="75">
    <w:p w14:paraId="7B47A3F8" w14:textId="31D299FB" w:rsidR="008A2E32" w:rsidRDefault="008A2E32">
      <w:pPr>
        <w:pStyle w:val="Notedebasdepage"/>
      </w:pPr>
      <w:r>
        <w:rPr>
          <w:rStyle w:val="Appelnotedebasdep"/>
        </w:rPr>
        <w:footnoteRef/>
      </w:r>
      <w:r>
        <w:t xml:space="preserve"> </w:t>
      </w:r>
      <w:hyperlink r:id="rId66" w:history="1">
        <w:r w:rsidRPr="00780959">
          <w:rPr>
            <w:rStyle w:val="Lienhypertexte"/>
          </w:rPr>
          <w:t>https://inkyfada.com/</w:t>
        </w:r>
      </w:hyperlink>
      <w:r>
        <w:t xml:space="preserve"> </w:t>
      </w:r>
    </w:p>
  </w:footnote>
  <w:footnote w:id="76">
    <w:p w14:paraId="18C8DC9F" w14:textId="227151C8" w:rsidR="008A2E32" w:rsidRDefault="008A2E32">
      <w:pPr>
        <w:pStyle w:val="Notedebasdepage"/>
      </w:pPr>
      <w:r>
        <w:rPr>
          <w:rStyle w:val="Appelnotedebasdep"/>
        </w:rPr>
        <w:footnoteRef/>
      </w:r>
      <w:r>
        <w:t xml:space="preserve"> </w:t>
      </w:r>
      <w:hyperlink r:id="rId67" w:history="1">
        <w:r w:rsidRPr="00A94856">
          <w:rPr>
            <w:rStyle w:val="Lienhypertexte"/>
          </w:rPr>
          <w:t>http://ieee.tn/hackathon/</w:t>
        </w:r>
      </w:hyperlink>
      <w:r>
        <w:t xml:space="preserve"> </w:t>
      </w:r>
    </w:p>
  </w:footnote>
  <w:footnote w:id="77">
    <w:p w14:paraId="7A659E42" w14:textId="174BF1E3" w:rsidR="008A2E32" w:rsidRDefault="008A2E32">
      <w:pPr>
        <w:pStyle w:val="Notedebasdepage"/>
      </w:pPr>
      <w:r>
        <w:rPr>
          <w:rStyle w:val="Appelnotedebasdep"/>
        </w:rPr>
        <w:footnoteRef/>
      </w:r>
      <w:r>
        <w:t xml:space="preserve"> </w:t>
      </w:r>
      <w:hyperlink r:id="rId68" w:history="1">
        <w:r w:rsidRPr="00780959">
          <w:rPr>
            <w:rStyle w:val="Lienhypertexte"/>
          </w:rPr>
          <w:t>http://webradar.me/</w:t>
        </w:r>
      </w:hyperlink>
      <w:r>
        <w:t xml:space="preserve"> </w:t>
      </w:r>
    </w:p>
  </w:footnote>
  <w:footnote w:id="78">
    <w:p w14:paraId="508E82CE" w14:textId="107613AF" w:rsidR="008A2E32" w:rsidRDefault="008A2E32">
      <w:pPr>
        <w:pStyle w:val="Notedebasdepage"/>
      </w:pPr>
      <w:r>
        <w:rPr>
          <w:rStyle w:val="Appelnotedebasdep"/>
        </w:rPr>
        <w:footnoteRef/>
      </w:r>
      <w:r>
        <w:t xml:space="preserve"> </w:t>
      </w:r>
      <w:hyperlink r:id="rId69" w:history="1">
        <w:r w:rsidRPr="00780959">
          <w:rPr>
            <w:rStyle w:val="Lienhypertexte"/>
          </w:rPr>
          <w:t>https://www.cogite.tn/</w:t>
        </w:r>
      </w:hyperlink>
      <w:r>
        <w:t xml:space="preserve"> </w:t>
      </w:r>
    </w:p>
  </w:footnote>
  <w:footnote w:id="79">
    <w:p w14:paraId="276FE720" w14:textId="22676880" w:rsidR="008A2E32" w:rsidRDefault="008A2E32">
      <w:pPr>
        <w:pStyle w:val="Notedebasdepage"/>
      </w:pPr>
      <w:r>
        <w:rPr>
          <w:rStyle w:val="Appelnotedebasdep"/>
        </w:rPr>
        <w:footnoteRef/>
      </w:r>
      <w:r>
        <w:t xml:space="preserve"> </w:t>
      </w:r>
      <w:hyperlink r:id="rId70" w:history="1">
        <w:r w:rsidRPr="00780959">
          <w:rPr>
            <w:rStyle w:val="Lienhypertexte"/>
          </w:rPr>
          <w:t>https://www.elspace.org/</w:t>
        </w:r>
      </w:hyperlink>
      <w:r>
        <w:t xml:space="preserve"> </w:t>
      </w:r>
    </w:p>
  </w:footnote>
  <w:footnote w:id="80">
    <w:p w14:paraId="66412C7C" w14:textId="77777777" w:rsidR="008A2E32" w:rsidRDefault="008A2E32" w:rsidP="00630CF6">
      <w:pPr>
        <w:pStyle w:val="Notedebasdepage"/>
      </w:pPr>
      <w:r>
        <w:rPr>
          <w:rStyle w:val="Appelnotedebasdep"/>
        </w:rPr>
        <w:footnoteRef/>
      </w:r>
      <w:r>
        <w:t xml:space="preserve"> </w:t>
      </w:r>
      <w:hyperlink r:id="rId71" w:history="1">
        <w:r w:rsidRPr="00780959">
          <w:rPr>
            <w:rStyle w:val="Lienhypertexte"/>
          </w:rPr>
          <w:t>https://www.facebook.com/events/1672873689406066/</w:t>
        </w:r>
      </w:hyperlink>
      <w:r>
        <w:t xml:space="preserve"> </w:t>
      </w:r>
    </w:p>
  </w:footnote>
  <w:footnote w:id="81">
    <w:p w14:paraId="6D5485A2" w14:textId="77777777" w:rsidR="008A2E32" w:rsidRDefault="008A2E32" w:rsidP="00630CF6">
      <w:pPr>
        <w:pStyle w:val="Notedebasdepage"/>
      </w:pPr>
      <w:r>
        <w:rPr>
          <w:rStyle w:val="Appelnotedebasdep"/>
        </w:rPr>
        <w:footnoteRef/>
      </w:r>
      <w:r>
        <w:t xml:space="preserve"> </w:t>
      </w:r>
      <w:hyperlink r:id="rId72" w:history="1">
        <w:r>
          <w:rPr>
            <w:rStyle w:val="Lienhypertexte"/>
            <w:rFonts w:ascii="Calibri" w:hAnsi="Calibri" w:cs="Calibri"/>
            <w:sz w:val="22"/>
            <w:szCs w:val="22"/>
          </w:rPr>
          <w:t>http://www.iotunisia.com/smart-agriculture-hackathon-2017/</w:t>
        </w:r>
      </w:hyperlink>
      <w:r>
        <w:rPr>
          <w:rFonts w:ascii="Calibri" w:hAnsi="Calibri" w:cs="Calibri"/>
          <w:sz w:val="22"/>
          <w:szCs w:val="22"/>
        </w:rPr>
        <w:t xml:space="preserve"> </w:t>
      </w:r>
    </w:p>
  </w:footnote>
  <w:footnote w:id="82">
    <w:p w14:paraId="5E9789F7" w14:textId="77777777" w:rsidR="008A2E32" w:rsidRDefault="008A2E32" w:rsidP="00630CF6">
      <w:pPr>
        <w:pStyle w:val="Notedebasdepage"/>
      </w:pPr>
      <w:r>
        <w:rPr>
          <w:rStyle w:val="Appelnotedebasdep"/>
        </w:rPr>
        <w:footnoteRef/>
      </w:r>
      <w:r>
        <w:t xml:space="preserve"> </w:t>
      </w:r>
      <w:hyperlink r:id="rId73" w:history="1">
        <w:r>
          <w:rPr>
            <w:rStyle w:val="Lienhypertexte"/>
            <w:rFonts w:ascii="Calibri" w:hAnsi="Calibri" w:cs="Calibri"/>
            <w:sz w:val="22"/>
            <w:szCs w:val="22"/>
          </w:rPr>
          <w:t>http://www.hack4-democracy.com/</w:t>
        </w:r>
      </w:hyperlink>
      <w:r>
        <w:rPr>
          <w:rFonts w:ascii="Calibri" w:hAnsi="Calibri" w:cs="Calibri"/>
          <w:sz w:val="22"/>
          <w:szCs w:val="22"/>
        </w:rPr>
        <w:t xml:space="preserve"> </w:t>
      </w:r>
    </w:p>
  </w:footnote>
  <w:footnote w:id="83">
    <w:p w14:paraId="77BEBA03" w14:textId="3C967D42" w:rsidR="008A2E32" w:rsidRDefault="008A2E32">
      <w:pPr>
        <w:pStyle w:val="Notedebasdepage"/>
      </w:pPr>
      <w:r>
        <w:rPr>
          <w:rStyle w:val="Appelnotedebasdep"/>
        </w:rPr>
        <w:footnoteRef/>
      </w:r>
      <w:r>
        <w:t xml:space="preserve"> </w:t>
      </w:r>
      <w:r w:rsidRPr="00054FB4">
        <w:t>http://atcp.org.tn/</w:t>
      </w:r>
    </w:p>
  </w:footnote>
  <w:footnote w:id="84">
    <w:p w14:paraId="484CFA4D" w14:textId="73A64DDF" w:rsidR="008A2E32" w:rsidRDefault="008A2E32">
      <w:pPr>
        <w:pStyle w:val="Notedebasdepage"/>
      </w:pPr>
      <w:r>
        <w:rPr>
          <w:rStyle w:val="Appelnotedebasdep"/>
        </w:rPr>
        <w:footnoteRef/>
      </w:r>
      <w:r>
        <w:t xml:space="preserve"> </w:t>
      </w:r>
      <w:hyperlink r:id="rId74" w:history="1">
        <w:r w:rsidRPr="00780959">
          <w:rPr>
            <w:rStyle w:val="Lienhypertexte"/>
          </w:rPr>
          <w:t>http://www.cabrane.com/fr/</w:t>
        </w:r>
      </w:hyperlink>
      <w:r>
        <w:t xml:space="preserve"> </w:t>
      </w:r>
    </w:p>
  </w:footnote>
  <w:footnote w:id="85">
    <w:p w14:paraId="72A961FF" w14:textId="3054B61D" w:rsidR="008A2E32" w:rsidRDefault="008A2E32">
      <w:pPr>
        <w:pStyle w:val="Notedebasdepage"/>
      </w:pPr>
      <w:r>
        <w:rPr>
          <w:rStyle w:val="Appelnotedebasdep"/>
        </w:rPr>
        <w:footnoteRef/>
      </w:r>
      <w:r>
        <w:t xml:space="preserve"> </w:t>
      </w:r>
      <w:r w:rsidRPr="001729D9">
        <w:t>https://www.facebook.com/photo.php?fbid=10214004644451262&amp;set=pcb.1853733654938824&amp;type=3&amp;theater&amp;ifg=1</w:t>
      </w:r>
    </w:p>
  </w:footnote>
  <w:footnote w:id="86">
    <w:p w14:paraId="57FA52AA" w14:textId="2D237373" w:rsidR="008A2E32" w:rsidRDefault="008A2E32">
      <w:pPr>
        <w:pStyle w:val="Notedebasdepage"/>
      </w:pPr>
      <w:r>
        <w:rPr>
          <w:rStyle w:val="Appelnotedebasdep"/>
        </w:rPr>
        <w:footnoteRef/>
      </w:r>
      <w:r>
        <w:t xml:space="preserve"> </w:t>
      </w:r>
      <w:hyperlink r:id="rId75" w:history="1">
        <w:r w:rsidRPr="00A94856">
          <w:rPr>
            <w:rStyle w:val="Lienhypertexte"/>
          </w:rPr>
          <w:t>http://budget.marsad.tn/fr/</w:t>
        </w:r>
      </w:hyperlink>
      <w:r>
        <w:t xml:space="preserve"> </w:t>
      </w:r>
    </w:p>
  </w:footnote>
  <w:footnote w:id="87">
    <w:p w14:paraId="1A70E082" w14:textId="024CD97C" w:rsidR="008A2E32" w:rsidRDefault="008A2E32">
      <w:pPr>
        <w:pStyle w:val="Notedebasdepage"/>
      </w:pPr>
      <w:r>
        <w:rPr>
          <w:rStyle w:val="Appelnotedebasdep"/>
        </w:rPr>
        <w:footnoteRef/>
      </w:r>
      <w:r>
        <w:t xml:space="preserve"> </w:t>
      </w:r>
      <w:hyperlink r:id="rId76" w:history="1">
        <w:r w:rsidRPr="00A94856">
          <w:rPr>
            <w:rStyle w:val="Lienhypertexte"/>
          </w:rPr>
          <w:t>https://majles.marsad.tn/2014/fr/</w:t>
        </w:r>
      </w:hyperlink>
      <w:r>
        <w:t xml:space="preserve"> </w:t>
      </w:r>
    </w:p>
  </w:footnote>
  <w:footnote w:id="88">
    <w:p w14:paraId="38CBA606" w14:textId="4ED8EC81" w:rsidR="008A2E32" w:rsidRDefault="008A2E32">
      <w:pPr>
        <w:pStyle w:val="Notedebasdepage"/>
      </w:pPr>
      <w:r>
        <w:rPr>
          <w:rStyle w:val="Appelnotedebasdep"/>
        </w:rPr>
        <w:footnoteRef/>
      </w:r>
      <w:r>
        <w:t xml:space="preserve"> </w:t>
      </w:r>
      <w:hyperlink r:id="rId77" w:history="1">
        <w:r w:rsidRPr="00A94856">
          <w:rPr>
            <w:rStyle w:val="Lienhypertexte"/>
          </w:rPr>
          <w:t>http://www.tunisieelections.org/result</w:t>
        </w:r>
      </w:hyperlink>
      <w:r>
        <w:t xml:space="preserve"> </w:t>
      </w:r>
    </w:p>
  </w:footnote>
  <w:footnote w:id="89">
    <w:p w14:paraId="4033AAD7" w14:textId="1B97855B" w:rsidR="008A2E32" w:rsidRDefault="008A2E32">
      <w:pPr>
        <w:pStyle w:val="Notedebasdepage"/>
      </w:pPr>
      <w:r>
        <w:rPr>
          <w:rStyle w:val="Appelnotedebasdep"/>
        </w:rPr>
        <w:footnoteRef/>
      </w:r>
      <w:r>
        <w:t xml:space="preserve"> </w:t>
      </w:r>
      <w:hyperlink r:id="rId78" w:history="1">
        <w:r w:rsidRPr="00A94856">
          <w:rPr>
            <w:rStyle w:val="Lienhypertexte"/>
          </w:rPr>
          <w:t>https://inkyfada.com/</w:t>
        </w:r>
      </w:hyperlink>
      <w:r>
        <w:t xml:space="preserve"> </w:t>
      </w:r>
    </w:p>
  </w:footnote>
  <w:footnote w:id="90">
    <w:p w14:paraId="6EBC515C" w14:textId="2FF4C709" w:rsidR="008A2E32" w:rsidRDefault="008A2E32">
      <w:pPr>
        <w:pStyle w:val="Notedebasdepage"/>
      </w:pPr>
      <w:r>
        <w:rPr>
          <w:rStyle w:val="Appelnotedebasdep"/>
        </w:rPr>
        <w:footnoteRef/>
      </w:r>
      <w:r>
        <w:t xml:space="preserve"> </w:t>
      </w:r>
      <w:hyperlink r:id="rId79" w:history="1">
        <w:r w:rsidRPr="00A94856">
          <w:rPr>
            <w:rStyle w:val="Lienhypertexte"/>
          </w:rPr>
          <w:t>http://www.cfi.fr/en/news/encounter-open-data-tunisia</w:t>
        </w:r>
      </w:hyperlink>
      <w:r>
        <w:t xml:space="preserve"> </w:t>
      </w:r>
    </w:p>
  </w:footnote>
  <w:footnote w:id="91">
    <w:p w14:paraId="5D7EE240" w14:textId="58A569FF" w:rsidR="008A2E32" w:rsidRDefault="008A2E32">
      <w:pPr>
        <w:pStyle w:val="Notedebasdepage"/>
      </w:pPr>
      <w:r>
        <w:rPr>
          <w:rStyle w:val="Appelnotedebasdep"/>
        </w:rPr>
        <w:footnoteRef/>
      </w:r>
      <w:r>
        <w:t xml:space="preserve"> </w:t>
      </w:r>
      <w:hyperlink r:id="rId80" w:history="1">
        <w:r w:rsidRPr="00A94856">
          <w:rPr>
            <w:rStyle w:val="Lienhypertexte"/>
          </w:rPr>
          <w:t>https://freedomhouse.org/report/freedom-press/2016/tunisia</w:t>
        </w:r>
      </w:hyperlink>
      <w:r>
        <w:t xml:space="preserve"> </w:t>
      </w:r>
    </w:p>
  </w:footnote>
  <w:footnote w:id="92">
    <w:p w14:paraId="66387934" w14:textId="77F4A3CD" w:rsidR="008A2E32" w:rsidRDefault="008A2E32">
      <w:pPr>
        <w:pStyle w:val="Notedebasdepage"/>
      </w:pPr>
      <w:r>
        <w:rPr>
          <w:rStyle w:val="Appelnotedebasdep"/>
        </w:rPr>
        <w:footnoteRef/>
      </w:r>
      <w:r>
        <w:t xml:space="preserve"> </w:t>
      </w:r>
      <w:hyperlink r:id="rId81" w:history="1">
        <w:r w:rsidRPr="00A94856">
          <w:rPr>
            <w:rStyle w:val="Lienhypertexte"/>
          </w:rPr>
          <w:t>https://rsf.org/en/tunisia</w:t>
        </w:r>
      </w:hyperlink>
      <w:r>
        <w:t xml:space="preserve"> </w:t>
      </w:r>
    </w:p>
  </w:footnote>
  <w:footnote w:id="93">
    <w:p w14:paraId="48184F54" w14:textId="5A00CCEF" w:rsidR="008A2E32" w:rsidRDefault="008A2E32">
      <w:pPr>
        <w:pStyle w:val="Notedebasdepage"/>
      </w:pPr>
      <w:r>
        <w:rPr>
          <w:rStyle w:val="Appelnotedebasdep"/>
        </w:rPr>
        <w:footnoteRef/>
      </w:r>
      <w:r>
        <w:t xml:space="preserve"> </w:t>
      </w:r>
      <w:hyperlink r:id="rId82" w:history="1">
        <w:r w:rsidRPr="00780959">
          <w:rPr>
            <w:rStyle w:val="Lienhypertexte"/>
          </w:rPr>
          <w:t>http://information.tv5monde.com/info/tunisie-ou-est-le-petrole-39003</w:t>
        </w:r>
      </w:hyperlink>
      <w:r>
        <w:t xml:space="preserve"> </w:t>
      </w:r>
    </w:p>
  </w:footnote>
  <w:footnote w:id="94">
    <w:p w14:paraId="3DEFB98E" w14:textId="77F10B93" w:rsidR="008A2E32" w:rsidRDefault="008A2E32">
      <w:pPr>
        <w:pStyle w:val="Notedebasdepage"/>
      </w:pPr>
      <w:r>
        <w:rPr>
          <w:rStyle w:val="Appelnotedebasdep"/>
        </w:rPr>
        <w:footnoteRef/>
      </w:r>
      <w:r>
        <w:t xml:space="preserve"> </w:t>
      </w:r>
      <w:hyperlink r:id="rId83" w:history="1">
        <w:r w:rsidRPr="00A94856">
          <w:rPr>
            <w:rStyle w:val="Lienhypertexte"/>
          </w:rPr>
          <w:t>http://clibre.tn/2014/02/open-data-day-odd2014/</w:t>
        </w:r>
      </w:hyperlink>
      <w:r>
        <w:t xml:space="preserve"> </w:t>
      </w:r>
    </w:p>
  </w:footnote>
  <w:footnote w:id="95">
    <w:p w14:paraId="1D44CBC9" w14:textId="0D055377" w:rsidR="008A2E32" w:rsidRPr="00E81F30" w:rsidRDefault="008A2E32">
      <w:pPr>
        <w:pStyle w:val="Notedebasdepage"/>
      </w:pPr>
      <w:r>
        <w:rPr>
          <w:rStyle w:val="Appelnotedebasdep"/>
        </w:rPr>
        <w:footnoteRef/>
      </w:r>
      <w:r w:rsidRPr="00E81F30">
        <w:t xml:space="preserve"> </w:t>
      </w:r>
      <w:hyperlink r:id="rId84" w:history="1">
        <w:r w:rsidRPr="00A94856">
          <w:rPr>
            <w:rStyle w:val="Lienhypertexte"/>
          </w:rPr>
          <w:t>https://www.oecd.org/gov/digital-government/open-government-data-seminar-tunisia-2016.PDF</w:t>
        </w:r>
      </w:hyperlink>
      <w:r>
        <w:t xml:space="preserve"> </w:t>
      </w:r>
    </w:p>
  </w:footnote>
  <w:footnote w:id="96">
    <w:p w14:paraId="1EDAEC4D" w14:textId="06FED283" w:rsidR="008A2E32" w:rsidRDefault="008A2E32">
      <w:pPr>
        <w:pStyle w:val="Notedebasdepage"/>
      </w:pPr>
      <w:r>
        <w:rPr>
          <w:rStyle w:val="Appelnotedebasdep"/>
        </w:rPr>
        <w:footnoteRef/>
      </w:r>
      <w:r>
        <w:t xml:space="preserve"> Un </w:t>
      </w:r>
      <w:r w:rsidRPr="005A645F">
        <w:t>ha</w:t>
      </w:r>
      <w:r>
        <w:t>ckathon en dé</w:t>
      </w:r>
      <w:r w:rsidRPr="005A645F">
        <w:t xml:space="preserve">cembre 2012, </w:t>
      </w:r>
      <w:r>
        <w:t xml:space="preserve">une </w:t>
      </w:r>
      <w:r w:rsidRPr="005A645F">
        <w:t xml:space="preserve">conférence avril 2012, </w:t>
      </w:r>
      <w:r>
        <w:t>un atelier en juin 2012 et une</w:t>
      </w:r>
      <w:r w:rsidRPr="005A645F">
        <w:t xml:space="preserve"> conférence </w:t>
      </w:r>
      <w:r>
        <w:t xml:space="preserve">en </w:t>
      </w:r>
      <w:r w:rsidRPr="005A645F">
        <w:t>2016</w:t>
      </w:r>
    </w:p>
  </w:footnote>
  <w:footnote w:id="97">
    <w:p w14:paraId="3AEAFA59" w14:textId="65BE091F" w:rsidR="008A2E32" w:rsidRDefault="008A2E32">
      <w:pPr>
        <w:pStyle w:val="Notedebasdepage"/>
      </w:pPr>
      <w:r>
        <w:rPr>
          <w:rStyle w:val="Appelnotedebasdep"/>
        </w:rPr>
        <w:footnoteRef/>
      </w:r>
      <w:r>
        <w:t xml:space="preserve"> </w:t>
      </w:r>
      <w:hyperlink r:id="rId85" w:history="1">
        <w:r w:rsidRPr="00780959">
          <w:rPr>
            <w:rStyle w:val="Lienhypertexte"/>
          </w:rPr>
          <w:t>http://www.iace.tn/wp-content/uploads/2017/03/RapportInclusionfinanciere032017.pdf</w:t>
        </w:r>
      </w:hyperlink>
      <w:r>
        <w:t xml:space="preserve"> </w:t>
      </w:r>
    </w:p>
  </w:footnote>
  <w:footnote w:id="98">
    <w:p w14:paraId="1AA48B5F" w14:textId="4B7F6570" w:rsidR="008A2E32" w:rsidRDefault="008A2E32">
      <w:pPr>
        <w:pStyle w:val="Notedebasdepage"/>
      </w:pPr>
      <w:r>
        <w:rPr>
          <w:rStyle w:val="Appelnotedebasdep"/>
        </w:rPr>
        <w:footnoteRef/>
      </w:r>
      <w:r>
        <w:t xml:space="preserve"> </w:t>
      </w:r>
      <w:r w:rsidRPr="00CD086F">
        <w:t>https://oif.bct.gov.tn/files/EducationFinanciere/Fichespedagogiques/fiche_CTI_pdf_10012017153551.pdf</w:t>
      </w:r>
    </w:p>
  </w:footnote>
  <w:footnote w:id="99">
    <w:p w14:paraId="4F848F04" w14:textId="09C3B802" w:rsidR="008A2E32" w:rsidRDefault="008A2E32">
      <w:pPr>
        <w:pStyle w:val="Notedebasdepage"/>
      </w:pPr>
      <w:r>
        <w:rPr>
          <w:rStyle w:val="Appelnotedebasdep"/>
        </w:rPr>
        <w:footnoteRef/>
      </w:r>
      <w:r>
        <w:t xml:space="preserve"> </w:t>
      </w:r>
      <w:hyperlink r:id="rId86" w:history="1">
        <w:r w:rsidRPr="00370112">
          <w:rPr>
            <w:rStyle w:val="Lienhypertexte"/>
          </w:rPr>
          <w:t>http://www.leconomistemaghrebin.com/2015/05/04/universite-virtuelle-tunis-uvt-ibm-signent-un-accord-de-partenariat/</w:t>
        </w:r>
      </w:hyperlink>
    </w:p>
  </w:footnote>
  <w:footnote w:id="100">
    <w:p w14:paraId="109556FD" w14:textId="092956D5" w:rsidR="008A2E32" w:rsidRDefault="008A2E32">
      <w:pPr>
        <w:pStyle w:val="Notedebasdepage"/>
      </w:pPr>
      <w:r>
        <w:rPr>
          <w:rStyle w:val="Appelnotedebasdep"/>
        </w:rPr>
        <w:footnoteRef/>
      </w:r>
      <w:r>
        <w:t xml:space="preserve"> </w:t>
      </w:r>
      <w:hyperlink r:id="rId87" w:history="1">
        <w:r w:rsidRPr="00370112">
          <w:rPr>
            <w:rStyle w:val="Lienhypertexte"/>
          </w:rPr>
          <w:t>http://www.ena.nat.tn/index.php?id=247&amp;L=1</w:t>
        </w:r>
      </w:hyperlink>
      <w:r>
        <w:rPr>
          <w:rStyle w:val="Lienhypertexte"/>
        </w:rPr>
        <w:t xml:space="preserve"> </w:t>
      </w:r>
    </w:p>
  </w:footnote>
  <w:footnote w:id="101">
    <w:p w14:paraId="0537ECC3" w14:textId="19DA1C83" w:rsidR="008A2E32" w:rsidRDefault="008A2E32">
      <w:pPr>
        <w:pStyle w:val="Notedebasdepage"/>
      </w:pPr>
      <w:r>
        <w:rPr>
          <w:rStyle w:val="Appelnotedebasdep"/>
        </w:rPr>
        <w:footnoteRef/>
      </w:r>
      <w:r>
        <w:t xml:space="preserve"> </w:t>
      </w:r>
      <w:hyperlink r:id="rId88" w:history="1">
        <w:r w:rsidRPr="006E009B">
          <w:rPr>
            <w:rStyle w:val="Lienhypertexte"/>
          </w:rPr>
          <w:t>https://www.fsvc.org/countries/tunisia/</w:t>
        </w:r>
      </w:hyperlink>
      <w:r>
        <w:t xml:space="preserve"> </w:t>
      </w:r>
    </w:p>
  </w:footnote>
  <w:footnote w:id="102">
    <w:p w14:paraId="155D1235" w14:textId="4D400FD3" w:rsidR="008A2E32" w:rsidRDefault="008A2E32">
      <w:pPr>
        <w:pStyle w:val="Notedebasdepage"/>
      </w:pPr>
      <w:r>
        <w:rPr>
          <w:rStyle w:val="Appelnotedebasdep"/>
        </w:rPr>
        <w:footnoteRef/>
      </w:r>
      <w:r>
        <w:t xml:space="preserve"> </w:t>
      </w:r>
      <w:hyperlink r:id="rId89" w:history="1">
        <w:r w:rsidRPr="006E009B">
          <w:rPr>
            <w:rStyle w:val="Lienhypertexte"/>
          </w:rPr>
          <w:t>http://www.finances.gov.tn/images/Loi2017_8.pdf</w:t>
        </w:r>
      </w:hyperlink>
      <w:r>
        <w:t xml:space="preserve"> </w:t>
      </w:r>
    </w:p>
  </w:footnote>
  <w:footnote w:id="103">
    <w:p w14:paraId="7D03C16E" w14:textId="6ECAFEB0" w:rsidR="008A2E32" w:rsidRDefault="008A2E32">
      <w:pPr>
        <w:pStyle w:val="Notedebasdepage"/>
      </w:pPr>
      <w:r>
        <w:rPr>
          <w:rStyle w:val="Appelnotedebasdep"/>
        </w:rPr>
        <w:footnoteRef/>
      </w:r>
      <w:r>
        <w:t xml:space="preserve"> </w:t>
      </w:r>
      <w:hyperlink r:id="rId90" w:history="1">
        <w:r w:rsidRPr="00A94856">
          <w:rPr>
            <w:rStyle w:val="Lienhypertexte"/>
          </w:rPr>
          <w:t>http://www.elgazala.tn/</w:t>
        </w:r>
      </w:hyperlink>
      <w:r>
        <w:t xml:space="preserve"> </w:t>
      </w:r>
    </w:p>
  </w:footnote>
  <w:footnote w:id="104">
    <w:p w14:paraId="3D3942CA" w14:textId="73AA5260" w:rsidR="008A2E32" w:rsidRDefault="008A2E32">
      <w:pPr>
        <w:pStyle w:val="Notedebasdepage"/>
      </w:pPr>
      <w:r>
        <w:rPr>
          <w:rStyle w:val="Appelnotedebasdep"/>
        </w:rPr>
        <w:footnoteRef/>
      </w:r>
      <w:r>
        <w:t xml:space="preserve"> </w:t>
      </w:r>
      <w:hyperlink r:id="rId91" w:history="1">
        <w:r w:rsidRPr="00370112">
          <w:rPr>
            <w:rStyle w:val="Lienhypertexte"/>
          </w:rPr>
          <w:t>http://www.tunisieindustrie.nat.tn/fr/doc.asp?mcat=16&amp;mrub=138</w:t>
        </w:r>
      </w:hyperlink>
      <w:r>
        <w:rPr>
          <w:rStyle w:val="Lienhypertexte"/>
        </w:rPr>
        <w:t xml:space="preserve"> </w:t>
      </w:r>
    </w:p>
  </w:footnote>
  <w:footnote w:id="105">
    <w:p w14:paraId="67CD3197" w14:textId="0EEA106F" w:rsidR="008A2E32" w:rsidRDefault="008A2E32">
      <w:pPr>
        <w:pStyle w:val="Notedebasdepage"/>
      </w:pPr>
      <w:r>
        <w:rPr>
          <w:rStyle w:val="Appelnotedebasdep"/>
        </w:rPr>
        <w:footnoteRef/>
      </w:r>
      <w:r>
        <w:t xml:space="preserve"> </w:t>
      </w:r>
      <w:hyperlink r:id="rId92" w:history="1">
        <w:r w:rsidRPr="00780959">
          <w:rPr>
            <w:rStyle w:val="Lienhypertexte"/>
          </w:rPr>
          <w:t>http://www.legislation.tn/sites/default/files/codes/investissement.pdf</w:t>
        </w:r>
      </w:hyperlink>
      <w:r>
        <w:t xml:space="preserve"> </w:t>
      </w:r>
    </w:p>
  </w:footnote>
  <w:footnote w:id="106">
    <w:p w14:paraId="791CF12E" w14:textId="3233B952" w:rsidR="008A2E32" w:rsidRDefault="008A2E32">
      <w:pPr>
        <w:pStyle w:val="Notedebasdepage"/>
      </w:pPr>
      <w:r>
        <w:rPr>
          <w:rStyle w:val="Appelnotedebasdep"/>
        </w:rPr>
        <w:footnoteRef/>
      </w:r>
      <w:r>
        <w:t xml:space="preserve"> </w:t>
      </w:r>
      <w:hyperlink r:id="rId93" w:history="1">
        <w:r w:rsidRPr="006E009B">
          <w:rPr>
            <w:rStyle w:val="Lienhypertexte"/>
          </w:rPr>
          <w:t>http://www.cjd-tunisie.org/wp-content/uploads/2017/04/Guide-du-financement_vff.pdf</w:t>
        </w:r>
      </w:hyperlink>
      <w:r>
        <w:t xml:space="preserve"> </w:t>
      </w:r>
    </w:p>
  </w:footnote>
  <w:footnote w:id="107">
    <w:p w14:paraId="6A8AF6C9" w14:textId="38D65E3B" w:rsidR="008A2E32" w:rsidRDefault="008A2E32">
      <w:pPr>
        <w:pStyle w:val="Notedebasdepage"/>
      </w:pPr>
      <w:r>
        <w:rPr>
          <w:rStyle w:val="Appelnotedebasdep"/>
        </w:rPr>
        <w:footnoteRef/>
      </w:r>
      <w:r>
        <w:t xml:space="preserve"> Source Instance Nationale des Télécommunications – Juin 2017 </w:t>
      </w:r>
      <w:hyperlink r:id="rId94" w:history="1">
        <w:r w:rsidRPr="00A94856">
          <w:rPr>
            <w:rStyle w:val="Lienhypertexte"/>
          </w:rPr>
          <w:t>http://www.intt.tn/upload/files/TB2_Tel-Mobile%20-%20Juin%202017.pdf</w:t>
        </w:r>
      </w:hyperlink>
      <w:r>
        <w:t xml:space="preserve"> </w:t>
      </w:r>
    </w:p>
  </w:footnote>
  <w:footnote w:id="108">
    <w:p w14:paraId="3294E32A" w14:textId="1A9C782F" w:rsidR="008A2E32" w:rsidRDefault="008A2E32">
      <w:pPr>
        <w:pStyle w:val="Notedebasdepage"/>
      </w:pPr>
      <w:r>
        <w:rPr>
          <w:rStyle w:val="Appelnotedebasdep"/>
        </w:rPr>
        <w:footnoteRef/>
      </w:r>
      <w:r>
        <w:t xml:space="preserve"> </w:t>
      </w:r>
      <w:hyperlink r:id="rId95" w:history="1">
        <w:r w:rsidRPr="00D3032A">
          <w:rPr>
            <w:rStyle w:val="Lienhypertexte"/>
          </w:rPr>
          <w:t>http://wikistartup.tn/index.php/who-we-are/</w:t>
        </w:r>
      </w:hyperlink>
      <w:r>
        <w:t xml:space="preserve"> </w:t>
      </w:r>
    </w:p>
  </w:footnote>
  <w:footnote w:id="109">
    <w:p w14:paraId="0DE745EB" w14:textId="4C803A55" w:rsidR="008A2E32" w:rsidRDefault="008A2E32">
      <w:pPr>
        <w:pStyle w:val="Notedebasdepage"/>
      </w:pPr>
      <w:r>
        <w:rPr>
          <w:rStyle w:val="Appelnotedebasdep"/>
        </w:rPr>
        <w:footnoteRef/>
      </w:r>
      <w:r>
        <w:t xml:space="preserve"> </w:t>
      </w:r>
      <w:hyperlink r:id="rId96" w:history="1">
        <w:r w:rsidRPr="00370112">
          <w:rPr>
            <w:rStyle w:val="Lienhypertexte"/>
          </w:rPr>
          <w:t>http://esprit.tn/esprit-incubator/</w:t>
        </w:r>
      </w:hyperlink>
      <w:r>
        <w:rPr>
          <w:rStyle w:val="Lienhypertexte"/>
        </w:rPr>
        <w:t xml:space="preserve"> </w:t>
      </w:r>
    </w:p>
  </w:footnote>
  <w:footnote w:id="110">
    <w:p w14:paraId="70E9718B" w14:textId="3BBEAB30" w:rsidR="008A2E32" w:rsidRDefault="008A2E32">
      <w:pPr>
        <w:pStyle w:val="Notedebasdepage"/>
      </w:pPr>
      <w:r>
        <w:rPr>
          <w:rStyle w:val="Appelnotedebasdep"/>
        </w:rPr>
        <w:footnoteRef/>
      </w:r>
      <w:r>
        <w:t xml:space="preserve"> </w:t>
      </w:r>
      <w:hyperlink r:id="rId97" w:history="1">
        <w:r w:rsidRPr="00370112">
          <w:rPr>
            <w:rStyle w:val="Lienhypertexte"/>
          </w:rPr>
          <w:t>https://fi.co/about?target=tunis</w:t>
        </w:r>
      </w:hyperlink>
      <w:r>
        <w:rPr>
          <w:rStyle w:val="Lienhypertexte"/>
        </w:rPr>
        <w:t xml:space="preserve"> </w:t>
      </w:r>
    </w:p>
  </w:footnote>
  <w:footnote w:id="111">
    <w:p w14:paraId="35BAE66E" w14:textId="315ACB3C" w:rsidR="008A2E32" w:rsidRDefault="008A2E32">
      <w:pPr>
        <w:pStyle w:val="Notedebasdepage"/>
      </w:pPr>
      <w:r>
        <w:rPr>
          <w:rStyle w:val="Appelnotedebasdep"/>
        </w:rPr>
        <w:footnoteRef/>
      </w:r>
      <w:r>
        <w:t xml:space="preserve"> </w:t>
      </w:r>
      <w:r w:rsidRPr="00370112">
        <w:t xml:space="preserve">: </w:t>
      </w:r>
      <w:hyperlink r:id="rId98" w:anchor="tunis" w:history="1">
        <w:r w:rsidRPr="00370112">
          <w:rPr>
            <w:rStyle w:val="Lienhypertexte"/>
          </w:rPr>
          <w:t>http://www.flat6labs.com/locations/#tunis</w:t>
        </w:r>
      </w:hyperlink>
      <w:r>
        <w:rPr>
          <w:rStyle w:val="Lienhypertexte"/>
        </w:rPr>
        <w:t xml:space="preserve"> </w:t>
      </w:r>
    </w:p>
  </w:footnote>
  <w:footnote w:id="112">
    <w:p w14:paraId="43997682" w14:textId="195DC383" w:rsidR="008A2E32" w:rsidRDefault="008A2E32">
      <w:pPr>
        <w:pStyle w:val="Notedebasdepage"/>
      </w:pPr>
      <w:r>
        <w:rPr>
          <w:rStyle w:val="Appelnotedebasdep"/>
        </w:rPr>
        <w:footnoteRef/>
      </w:r>
      <w:r>
        <w:t xml:space="preserve"> </w:t>
      </w:r>
      <w:hyperlink r:id="rId99" w:history="1">
        <w:r w:rsidRPr="00A94856">
          <w:rPr>
            <w:rStyle w:val="Lienhypertexte"/>
          </w:rPr>
          <w:t>http://www.cogite.tn/</w:t>
        </w:r>
      </w:hyperlink>
      <w:r>
        <w:t xml:space="preserve"> </w:t>
      </w:r>
    </w:p>
  </w:footnote>
  <w:footnote w:id="113">
    <w:p w14:paraId="7FBA74D3" w14:textId="3677A361" w:rsidR="008A2E32" w:rsidRDefault="008A2E32">
      <w:pPr>
        <w:pStyle w:val="Notedebasdepage"/>
      </w:pPr>
      <w:r>
        <w:rPr>
          <w:rStyle w:val="Appelnotedebasdep"/>
        </w:rPr>
        <w:footnoteRef/>
      </w:r>
      <w:r>
        <w:t xml:space="preserve"> </w:t>
      </w:r>
      <w:hyperlink r:id="rId100" w:history="1">
        <w:r w:rsidRPr="00370112">
          <w:rPr>
            <w:rStyle w:val="Lienhypertexte"/>
          </w:rPr>
          <w:t>https://www.elspace.org/</w:t>
        </w:r>
      </w:hyperlink>
      <w:r>
        <w:rPr>
          <w:rStyle w:val="Lienhypertexte"/>
        </w:rPr>
        <w:t xml:space="preserve"> </w:t>
      </w:r>
    </w:p>
  </w:footnote>
  <w:footnote w:id="114">
    <w:p w14:paraId="2466EF07" w14:textId="001D3022" w:rsidR="008A2E32" w:rsidRDefault="008A2E32">
      <w:pPr>
        <w:pStyle w:val="Notedebasdepage"/>
      </w:pPr>
      <w:r>
        <w:rPr>
          <w:rStyle w:val="Appelnotedebasdep"/>
        </w:rPr>
        <w:footnoteRef/>
      </w:r>
      <w:r>
        <w:t xml:space="preserve"> </w:t>
      </w:r>
      <w:hyperlink r:id="rId101" w:history="1">
        <w:r w:rsidRPr="00A94856">
          <w:rPr>
            <w:rStyle w:val="Lienhypertexte"/>
          </w:rPr>
          <w:t>https://innovation.orange.tn/projet/innovation-program</w:t>
        </w:r>
      </w:hyperlink>
      <w:r>
        <w:t xml:space="preserve"> </w:t>
      </w:r>
    </w:p>
  </w:footnote>
  <w:footnote w:id="115">
    <w:p w14:paraId="4B6686F3" w14:textId="0661D9CE" w:rsidR="008A2E32" w:rsidRDefault="008A2E32">
      <w:pPr>
        <w:pStyle w:val="Notedebasdepage"/>
      </w:pPr>
      <w:r>
        <w:rPr>
          <w:rStyle w:val="Appelnotedebasdep"/>
        </w:rPr>
        <w:footnoteRef/>
      </w:r>
      <w:r>
        <w:t xml:space="preserve"> </w:t>
      </w:r>
      <w:hyperlink r:id="rId102" w:history="1">
        <w:r w:rsidRPr="00A94856">
          <w:rPr>
            <w:rStyle w:val="Lienhypertexte"/>
          </w:rPr>
          <w:t>http://www.intt.tn/upload/files/Rapport%20%20trimestriel.pdf</w:t>
        </w:r>
      </w:hyperlink>
      <w:r>
        <w:t xml:space="preserve"> </w:t>
      </w:r>
    </w:p>
  </w:footnote>
  <w:footnote w:id="116">
    <w:p w14:paraId="478C4442" w14:textId="20A6A798" w:rsidR="008A2E32" w:rsidRDefault="008A2E32">
      <w:pPr>
        <w:pStyle w:val="Notedebasdepage"/>
      </w:pPr>
      <w:r>
        <w:rPr>
          <w:rStyle w:val="Appelnotedebasdep"/>
        </w:rPr>
        <w:footnoteRef/>
      </w:r>
      <w:r>
        <w:t xml:space="preserve"> </w:t>
      </w:r>
      <w:hyperlink r:id="rId103" w:history="1">
        <w:r w:rsidRPr="00A94856">
          <w:rPr>
            <w:rStyle w:val="Lienhypertexte"/>
          </w:rPr>
          <w:t>https://www.itu.int/en/ITU-D/Statistics/Documents/publications/misr2016/MISR2016-w4.pdf</w:t>
        </w:r>
      </w:hyperlink>
      <w:r>
        <w:t xml:space="preserve"> </w:t>
      </w:r>
    </w:p>
  </w:footnote>
  <w:footnote w:id="117">
    <w:p w14:paraId="6B2377BC" w14:textId="16A98054" w:rsidR="008A2E32" w:rsidRDefault="008A2E32" w:rsidP="00F003D9">
      <w:pPr>
        <w:pStyle w:val="Notedebasdepage"/>
      </w:pPr>
      <w:r>
        <w:rPr>
          <w:rStyle w:val="Appelnotedebasdep"/>
        </w:rPr>
        <w:footnoteRef/>
      </w:r>
      <w:r>
        <w:t xml:space="preserve"> </w:t>
      </w:r>
      <w:hyperlink r:id="rId104" w:history="1">
        <w:r w:rsidRPr="00A94856">
          <w:rPr>
            <w:rStyle w:val="Lienhypertexte"/>
          </w:rPr>
          <w:t>https://www.itu.int/en/ITU-D/Statistics/Documents/publications/misr2016/MISR2016-w4.pdf</w:t>
        </w:r>
      </w:hyperlink>
    </w:p>
  </w:footnote>
  <w:footnote w:id="118">
    <w:p w14:paraId="2CBFF5E1" w14:textId="28A552C9" w:rsidR="008A2E32" w:rsidRDefault="008A2E32">
      <w:pPr>
        <w:pStyle w:val="Notedebasdepage"/>
      </w:pPr>
      <w:r>
        <w:rPr>
          <w:rStyle w:val="Appelnotedebasdep"/>
        </w:rPr>
        <w:footnoteRef/>
      </w:r>
      <w:r>
        <w:t xml:space="preserve"> </w:t>
      </w:r>
      <w:hyperlink r:id="rId105" w:anchor="economy=TUN" w:history="1">
        <w:r w:rsidRPr="00A94856">
          <w:rPr>
            <w:rStyle w:val="Lienhypertexte"/>
          </w:rPr>
          <w:t>http://reports.weforum.org/global-information-technology-report-2016/economies/#economy=TUN</w:t>
        </w:r>
      </w:hyperlink>
      <w:r>
        <w:t xml:space="preserve"> </w:t>
      </w:r>
    </w:p>
  </w:footnote>
  <w:footnote w:id="119">
    <w:p w14:paraId="4C032224" w14:textId="1CB72E49" w:rsidR="00EB4C2C" w:rsidRDefault="00EB4C2C" w:rsidP="00EB4C2C">
      <w:pPr>
        <w:pStyle w:val="Notedebasdepage"/>
      </w:pPr>
      <w:r>
        <w:rPr>
          <w:rStyle w:val="Appelnotedebasdep"/>
        </w:rPr>
        <w:footnoteRef/>
      </w:r>
      <w:r>
        <w:t xml:space="preserve"> </w:t>
      </w:r>
      <w:hyperlink r:id="rId106" w:history="1">
        <w:r w:rsidRPr="009F5D07">
          <w:rPr>
            <w:rStyle w:val="Lienhypertexte"/>
          </w:rPr>
          <w:t>https://www.3s.com.tn/gouvernement-economie-tic-plf2018/</w:t>
        </w:r>
      </w:hyperlink>
      <w:r>
        <w:rPr>
          <w:i/>
          <w:iCs/>
        </w:rPr>
        <w:t xml:space="preserve"> </w:t>
      </w:r>
    </w:p>
  </w:footnote>
  <w:footnote w:id="120">
    <w:p w14:paraId="71F76125" w14:textId="4CFD7E92" w:rsidR="008A2E32" w:rsidRDefault="008A2E32">
      <w:pPr>
        <w:pStyle w:val="Notedebasdepage"/>
      </w:pPr>
      <w:r>
        <w:rPr>
          <w:rStyle w:val="Appelnotedebasdep"/>
        </w:rPr>
        <w:footnoteRef/>
      </w:r>
      <w:r>
        <w:t xml:space="preserve"> </w:t>
      </w:r>
      <w:hyperlink r:id="rId107" w:history="1">
        <w:r w:rsidRPr="00A94856">
          <w:rPr>
            <w:rStyle w:val="Lienhypertexte"/>
          </w:rPr>
          <w:t>http://www.intt.tn/</w:t>
        </w:r>
      </w:hyperlink>
      <w:r>
        <w:t xml:space="preserve"> </w:t>
      </w:r>
    </w:p>
  </w:footnote>
  <w:footnote w:id="121">
    <w:p w14:paraId="4AB54661" w14:textId="771928C6" w:rsidR="008A2E32" w:rsidRDefault="008A2E32">
      <w:pPr>
        <w:pStyle w:val="Notedebasdepage"/>
      </w:pPr>
      <w:r>
        <w:rPr>
          <w:rStyle w:val="Appelnotedebasdep"/>
        </w:rPr>
        <w:footnoteRef/>
      </w:r>
      <w:r>
        <w:t xml:space="preserve"> </w:t>
      </w:r>
      <w:hyperlink r:id="rId108" w:anchor="idi2016countrycard-tab&amp;TUN" w:history="1">
        <w:r w:rsidRPr="00A94856">
          <w:rPr>
            <w:rStyle w:val="Lienhypertexte"/>
          </w:rPr>
          <w:t>http://www.itu.int/net4/ITU-D/idi/2016/#idi2016countrycard-tab&amp;TUN</w:t>
        </w:r>
      </w:hyperlink>
      <w:r>
        <w:t xml:space="preserve"> </w:t>
      </w:r>
    </w:p>
  </w:footnote>
  <w:footnote w:id="122">
    <w:p w14:paraId="39E23AE7" w14:textId="77777777" w:rsidR="008A2E32" w:rsidRDefault="008A2E32" w:rsidP="00F25F43">
      <w:pPr>
        <w:pStyle w:val="Commentaire"/>
        <w:spacing w:after="0"/>
      </w:pPr>
      <w:r>
        <w:rPr>
          <w:rStyle w:val="Appelnotedebasdep"/>
        </w:rPr>
        <w:footnoteRef/>
      </w:r>
      <w:r>
        <w:t xml:space="preserve"> </w:t>
      </w:r>
      <w:hyperlink r:id="rId109" w:history="1">
        <w:r w:rsidRPr="002520E4">
          <w:rPr>
            <w:rStyle w:val="Lienhypertexte"/>
          </w:rPr>
          <w:t>http://www.legislation.tn/detailtexte/D%C3%A9cret-num-2013-1299-du-26-02-2013-jort-2013-020__2013020012993?shorten=4DiR</w:t>
        </w:r>
      </w:hyperlink>
    </w:p>
  </w:footnote>
  <w:footnote w:id="123">
    <w:p w14:paraId="36FA7E12" w14:textId="77777777" w:rsidR="008A2E32" w:rsidRDefault="008A2E32" w:rsidP="00F25F43">
      <w:pPr>
        <w:pStyle w:val="Notedebasdepage"/>
      </w:pPr>
      <w:r>
        <w:rPr>
          <w:rStyle w:val="Appelnotedebasdep"/>
        </w:rPr>
        <w:footnoteRef/>
      </w:r>
      <w:r>
        <w:t xml:space="preserve"> Voir le guide de l’Union Européenne </w:t>
      </w:r>
      <w:hyperlink r:id="rId110" w:history="1">
        <w:r w:rsidRPr="00B84295">
          <w:rPr>
            <w:rStyle w:val="Lienhypertexte"/>
          </w:rPr>
          <w:t>https://www.europeandataportal.eu/en/providing-data/goldbook</w:t>
        </w:r>
      </w:hyperlink>
      <w:r>
        <w:t xml:space="preserve"> très complet et couvrant un champs plus large que celui d’un manuel à l’attention des chargés d’OD. Un autre exemple fait par la FING : </w:t>
      </w:r>
      <w:hyperlink r:id="rId111" w:history="1">
        <w:r w:rsidRPr="00B84295">
          <w:rPr>
            <w:rStyle w:val="Lienhypertexte"/>
          </w:rPr>
          <w:t>http://fing.org/?Guide-pratique-de-l-ouverture-des</w:t>
        </w:r>
      </w:hyperlink>
    </w:p>
  </w:footnote>
  <w:footnote w:id="124">
    <w:p w14:paraId="06D85F1F" w14:textId="77777777" w:rsidR="008A2E32" w:rsidRDefault="008A2E32" w:rsidP="00F83134">
      <w:pPr>
        <w:pStyle w:val="Notedebasdepage"/>
      </w:pPr>
      <w:r>
        <w:rPr>
          <w:rStyle w:val="Appelnotedebasdep"/>
        </w:rPr>
        <w:footnoteRef/>
      </w:r>
      <w:r>
        <w:t xml:space="preserve"> </w:t>
      </w:r>
      <w:hyperlink r:id="rId112" w:history="1">
        <w:r>
          <w:rPr>
            <w:rStyle w:val="Lienhypertexte"/>
          </w:rPr>
          <w:t>http://www.dlab.or.tz/</w:t>
        </w:r>
      </w:hyperlink>
      <w:r>
        <w:t xml:space="preserve"> </w:t>
      </w:r>
    </w:p>
  </w:footnote>
  <w:footnote w:id="125">
    <w:p w14:paraId="35C5DCDD" w14:textId="77777777" w:rsidR="008A2E32" w:rsidRDefault="008A2E32" w:rsidP="00F83134">
      <w:pPr>
        <w:pStyle w:val="Notedebasdepage"/>
        <w:spacing w:after="120"/>
      </w:pPr>
      <w:r>
        <w:rPr>
          <w:rStyle w:val="Appelnotedebasdep"/>
        </w:rPr>
        <w:footnoteRef/>
      </w:r>
      <w:r>
        <w:t xml:space="preserve"> </w:t>
      </w:r>
      <w:hyperlink r:id="rId113" w:history="1">
        <w:r>
          <w:rPr>
            <w:rStyle w:val="Lienhypertexte"/>
          </w:rPr>
          <w:t>http://labs.webfoundation.org/</w:t>
        </w:r>
      </w:hyperlink>
      <w:r>
        <w:t xml:space="preserve"> </w:t>
      </w:r>
    </w:p>
  </w:footnote>
  <w:footnote w:id="126">
    <w:p w14:paraId="18D00695" w14:textId="77777777" w:rsidR="004E3B4A" w:rsidRDefault="004E3B4A" w:rsidP="004E3B4A">
      <w:pPr>
        <w:pStyle w:val="Notedebasdepage"/>
      </w:pPr>
      <w:r>
        <w:rPr>
          <w:rStyle w:val="Appelnotedebasdep"/>
        </w:rPr>
        <w:footnoteRef/>
      </w:r>
      <w:r>
        <w:t xml:space="preserve"> </w:t>
      </w:r>
      <w:hyperlink r:id="rId114" w:history="1">
        <w:r w:rsidRPr="009F5D07">
          <w:rPr>
            <w:rStyle w:val="Lienhypertexte"/>
          </w:rPr>
          <w:t>https://www.etalab.gouv.fr/</w:t>
        </w:r>
      </w:hyperlink>
      <w:r>
        <w:t xml:space="preserve"> </w:t>
      </w:r>
    </w:p>
  </w:footnote>
  <w:footnote w:id="127">
    <w:p w14:paraId="40C9FBF2" w14:textId="77777777" w:rsidR="008A2E32" w:rsidRDefault="008A2E32" w:rsidP="00DE6E52">
      <w:pPr>
        <w:pStyle w:val="Notedebasdepage"/>
      </w:pPr>
      <w:r>
        <w:rPr>
          <w:rStyle w:val="Appelnotedebasdep"/>
        </w:rPr>
        <w:footnoteRef/>
      </w:r>
      <w:r>
        <w:t xml:space="preserve"> </w:t>
      </w:r>
      <w:hyperlink r:id="rId115" w:history="1">
        <w:r>
          <w:rPr>
            <w:rStyle w:val="Lienhypertexte"/>
          </w:rPr>
          <w:t>http://data.worldbank.org/sites/default/files/1/briefing-on-open-data-declarations-generic.doc</w:t>
        </w:r>
      </w:hyperlink>
      <w:r>
        <w:t xml:space="preserve"> </w:t>
      </w:r>
    </w:p>
  </w:footnote>
  <w:footnote w:id="128">
    <w:p w14:paraId="1FD340D7" w14:textId="35DC45E8" w:rsidR="008A2E32" w:rsidRDefault="008A2E32" w:rsidP="00DE6E52">
      <w:pPr>
        <w:pStyle w:val="Notedebasdepage"/>
      </w:pPr>
      <w:r>
        <w:rPr>
          <w:rStyle w:val="Appelnotedebasdep"/>
        </w:rPr>
        <w:footnoteRef/>
      </w:r>
      <w:r>
        <w:t xml:space="preserve"> </w:t>
      </w:r>
      <w:hyperlink r:id="rId116" w:history="1">
        <w:r w:rsidRPr="006E009B">
          <w:rPr>
            <w:rStyle w:val="Lienhypertexte"/>
          </w:rPr>
          <w:t>http://data.worldbank.org/sites/default/files/1/declarations.pdf</w:t>
        </w:r>
      </w:hyperlink>
      <w:r>
        <w:t xml:space="preserve"> </w:t>
      </w:r>
    </w:p>
  </w:footnote>
  <w:footnote w:id="129">
    <w:p w14:paraId="3052E75A" w14:textId="77777777" w:rsidR="008A2E32" w:rsidRDefault="008A2E32" w:rsidP="00A223EE">
      <w:pPr>
        <w:pStyle w:val="Notedebasdepage"/>
      </w:pPr>
      <w:r>
        <w:rPr>
          <w:rStyle w:val="Appelnotedebasdep"/>
        </w:rPr>
        <w:footnoteRef/>
      </w:r>
      <w:r>
        <w:t xml:space="preserve"> </w:t>
      </w:r>
      <w:hyperlink r:id="rId117" w:history="1">
        <w:r>
          <w:rPr>
            <w:rStyle w:val="Lienhypertexte"/>
          </w:rPr>
          <w:t>http://opendatabarometer.org/</w:t>
        </w:r>
      </w:hyperlink>
      <w:r>
        <w:t xml:space="preserve"> </w:t>
      </w:r>
    </w:p>
  </w:footnote>
  <w:footnote w:id="130">
    <w:p w14:paraId="77822908" w14:textId="77777777" w:rsidR="008A2E32" w:rsidRDefault="008A2E32" w:rsidP="00A223EE">
      <w:pPr>
        <w:pStyle w:val="Notedebasdepage"/>
        <w:spacing w:after="120"/>
      </w:pPr>
      <w:r>
        <w:rPr>
          <w:rStyle w:val="Appelnotedebasdep"/>
        </w:rPr>
        <w:footnoteRef/>
      </w:r>
      <w:r>
        <w:t xml:space="preserve"> </w:t>
      </w:r>
      <w:hyperlink r:id="rId118" w:history="1">
        <w:r>
          <w:rPr>
            <w:rStyle w:val="Lienhypertexte"/>
          </w:rPr>
          <w:t>http://index.okfn.org/</w:t>
        </w:r>
      </w:hyperlink>
      <w:r>
        <w:t xml:space="preserve"> </w:t>
      </w:r>
    </w:p>
  </w:footnote>
  <w:footnote w:id="131">
    <w:p w14:paraId="6A52748E" w14:textId="77777777" w:rsidR="008A2E32" w:rsidRDefault="008A2E32" w:rsidP="004C4146">
      <w:pPr>
        <w:pStyle w:val="Notedebasdepage"/>
      </w:pPr>
      <w:r>
        <w:rPr>
          <w:rStyle w:val="Appelnotedebasdep"/>
        </w:rPr>
        <w:footnoteRef/>
      </w:r>
      <w:r>
        <w:t xml:space="preserve"> </w:t>
      </w:r>
      <w:hyperlink r:id="rId119" w:history="1">
        <w:r>
          <w:rPr>
            <w:rStyle w:val="Lienhypertexte"/>
          </w:rPr>
          <w:t>http://www.nationalarchives.gov.uk/information-management/uk-gov-licensing-framework.htm</w:t>
        </w:r>
      </w:hyperlink>
      <w:r>
        <w:t xml:space="preserve"> </w:t>
      </w:r>
    </w:p>
  </w:footnote>
  <w:footnote w:id="132">
    <w:p w14:paraId="784E6185" w14:textId="77777777" w:rsidR="008A2E32" w:rsidRDefault="008A2E32" w:rsidP="004C4146">
      <w:pPr>
        <w:pStyle w:val="Notedebasdepage"/>
      </w:pPr>
      <w:r>
        <w:rPr>
          <w:rStyle w:val="Appelnotedebasdep"/>
        </w:rPr>
        <w:footnoteRef/>
      </w:r>
      <w:r>
        <w:t xml:space="preserve"> </w:t>
      </w:r>
      <w:hyperlink r:id="rId120" w:history="1">
        <w:r>
          <w:rPr>
            <w:rStyle w:val="Lienhypertexte"/>
          </w:rPr>
          <w:t>http://discovery.ac.uk/files/pdf/Licensing_Open_Data_A_Practical_Guide.pdf</w:t>
        </w:r>
      </w:hyperlink>
      <w:r>
        <w:t xml:space="preserve"> </w:t>
      </w:r>
    </w:p>
  </w:footnote>
  <w:footnote w:id="133">
    <w:p w14:paraId="720027C5" w14:textId="77777777" w:rsidR="008A2E32" w:rsidRDefault="008A2E32" w:rsidP="004C4146">
      <w:pPr>
        <w:pStyle w:val="Notedebasdepage"/>
      </w:pPr>
      <w:r>
        <w:rPr>
          <w:rStyle w:val="Appelnotedebasdep"/>
        </w:rPr>
        <w:footnoteRef/>
      </w:r>
      <w:r>
        <w:t xml:space="preserve"> </w:t>
      </w:r>
      <w:hyperlink r:id="rId121" w:history="1">
        <w:r>
          <w:rPr>
            <w:rStyle w:val="Lienhypertexte"/>
          </w:rPr>
          <w:t>https://www.etalab.gouv.fr/en/licence-ouverte-open-licence</w:t>
        </w:r>
      </w:hyperlink>
      <w:r>
        <w:t xml:space="preserve"> </w:t>
      </w:r>
    </w:p>
  </w:footnote>
  <w:footnote w:id="134">
    <w:p w14:paraId="0B02A588" w14:textId="77777777" w:rsidR="008A2E32" w:rsidRDefault="008A2E32" w:rsidP="004C4146">
      <w:pPr>
        <w:pStyle w:val="Notedebasdepage"/>
      </w:pPr>
      <w:r>
        <w:rPr>
          <w:rStyle w:val="Appelnotedebasdep"/>
        </w:rPr>
        <w:footnoteRef/>
      </w:r>
      <w:r>
        <w:t xml:space="preserve"> </w:t>
      </w:r>
      <w:hyperlink r:id="rId122" w:history="1">
        <w:r>
          <w:rPr>
            <w:rStyle w:val="Lienhypertexte"/>
          </w:rPr>
          <w:t>http://www.dof.gob.mx/nota_detalle.php?codigo=5382838&amp;fecha=20/02/2015</w:t>
        </w:r>
      </w:hyperlink>
      <w:r>
        <w:t xml:space="preserve"> </w:t>
      </w:r>
    </w:p>
  </w:footnote>
  <w:footnote w:id="135">
    <w:p w14:paraId="7F951AB5" w14:textId="77777777" w:rsidR="008A2E32" w:rsidRDefault="008A2E32" w:rsidP="004C4146">
      <w:pPr>
        <w:pStyle w:val="Notedebasdepage"/>
      </w:pPr>
      <w:r>
        <w:rPr>
          <w:rStyle w:val="Appelnotedebasdep"/>
        </w:rPr>
        <w:footnoteRef/>
      </w:r>
      <w:r>
        <w:t xml:space="preserve"> </w:t>
      </w:r>
      <w:hyperlink r:id="rId123" w:history="1">
        <w:r>
          <w:rPr>
            <w:rStyle w:val="Lienhypertexte"/>
          </w:rPr>
          <w:t>http://theodi.org/open-data-enshrined-mexico-constitution</w:t>
        </w:r>
      </w:hyperlink>
      <w:r>
        <w:t xml:space="preserve"> </w:t>
      </w:r>
    </w:p>
  </w:footnote>
  <w:footnote w:id="136">
    <w:p w14:paraId="0C022881" w14:textId="1053A00A" w:rsidR="008A2E32" w:rsidRDefault="008A2E32">
      <w:pPr>
        <w:pStyle w:val="Notedebasdepage"/>
      </w:pPr>
      <w:r>
        <w:rPr>
          <w:rStyle w:val="Appelnotedebasdep"/>
        </w:rPr>
        <w:footnoteRef/>
      </w:r>
      <w:r>
        <w:t xml:space="preserve"> </w:t>
      </w:r>
      <w:hyperlink r:id="rId124" w:history="1">
        <w:r w:rsidRPr="009F5D07">
          <w:rPr>
            <w:rStyle w:val="Lienhypertexte"/>
          </w:rPr>
          <w:t>https://www.legifrance.gouv.fr/affichTexte.do?cidTexte=JORFTEXT000034194946&amp;categorieLien=id</w:t>
        </w:r>
      </w:hyperlink>
      <w:r>
        <w:t xml:space="preserve"> </w:t>
      </w:r>
    </w:p>
  </w:footnote>
  <w:footnote w:id="137">
    <w:p w14:paraId="162E9CD3" w14:textId="77777777" w:rsidR="008A2E32" w:rsidRDefault="008A2E32" w:rsidP="004C4146">
      <w:pPr>
        <w:pStyle w:val="Notedebasdepage"/>
        <w:spacing w:after="120"/>
      </w:pPr>
      <w:r>
        <w:rPr>
          <w:rStyle w:val="Appelnotedebasdep"/>
        </w:rPr>
        <w:footnoteRef/>
      </w:r>
      <w:r>
        <w:t xml:space="preserve"> </w:t>
      </w:r>
      <w:hyperlink r:id="rId125" w:history="1">
        <w:r>
          <w:rPr>
            <w:rStyle w:val="Lienhypertexte"/>
          </w:rPr>
          <w:t>https://www.youtube.com/watch?v=7BXHv-JGPXQ</w:t>
        </w:r>
      </w:hyperlink>
      <w:r>
        <w:t xml:space="preserve"> </w:t>
      </w:r>
    </w:p>
  </w:footnote>
  <w:footnote w:id="138">
    <w:p w14:paraId="154302ED" w14:textId="77777777" w:rsidR="008A2E32" w:rsidRDefault="008A2E32" w:rsidP="004C4146">
      <w:pPr>
        <w:pStyle w:val="Notedebasdepage"/>
      </w:pPr>
      <w:r>
        <w:rPr>
          <w:rStyle w:val="Appelnotedebasdep"/>
        </w:rPr>
        <w:footnoteRef/>
      </w:r>
      <w:r>
        <w:t xml:space="preserve"> </w:t>
      </w:r>
      <w:hyperlink r:id="rId126" w:history="1">
        <w:r>
          <w:rPr>
            <w:rStyle w:val="Lienhypertexte"/>
          </w:rPr>
          <w:t>https://theodi.org/case-studies/mexico-case-study-using-data-squads-to-jump-start-government-open-data-publishing</w:t>
        </w:r>
      </w:hyperlink>
      <w:r>
        <w:t xml:space="preserve"> </w:t>
      </w:r>
    </w:p>
  </w:footnote>
  <w:footnote w:id="139">
    <w:p w14:paraId="75CEFC7C" w14:textId="77777777" w:rsidR="008A2E32" w:rsidRDefault="008A2E32" w:rsidP="003C0F03">
      <w:pPr>
        <w:pStyle w:val="Notedebasdepage"/>
      </w:pPr>
      <w:r>
        <w:rPr>
          <w:rStyle w:val="Appelnotedebasdep"/>
        </w:rPr>
        <w:footnoteRef/>
      </w:r>
      <w:r>
        <w:t xml:space="preserve"> </w:t>
      </w:r>
      <w:hyperlink r:id="rId127" w:history="1">
        <w:r>
          <w:rPr>
            <w:rStyle w:val="Lienhypertexte"/>
          </w:rPr>
          <w:t>http://www.data.gov/developers/blog/primer-machine-readability-online-documents-and-data</w:t>
        </w:r>
      </w:hyperlink>
      <w:r>
        <w:t xml:space="preserve"> </w:t>
      </w:r>
    </w:p>
  </w:footnote>
  <w:footnote w:id="140">
    <w:p w14:paraId="20B91616" w14:textId="77777777" w:rsidR="008A2E32" w:rsidRDefault="008A2E32" w:rsidP="003C0F03">
      <w:pPr>
        <w:pStyle w:val="Notedebasdepage"/>
      </w:pPr>
      <w:r>
        <w:rPr>
          <w:rStyle w:val="Appelnotedebasdep"/>
        </w:rPr>
        <w:footnoteRef/>
      </w:r>
      <w:r>
        <w:t xml:space="preserve"> </w:t>
      </w:r>
      <w:hyperlink r:id="rId128" w:history="1">
        <w:r>
          <w:rPr>
            <w:rStyle w:val="Lienhypertexte"/>
          </w:rPr>
          <w:t>http://ico.org.uk/for_organisations/data_protection/topic_guides/anonymisation</w:t>
        </w:r>
      </w:hyperlink>
      <w:r>
        <w:t xml:space="preserve"> </w:t>
      </w:r>
    </w:p>
  </w:footnote>
  <w:footnote w:id="141">
    <w:p w14:paraId="77911957" w14:textId="77777777" w:rsidR="008A2E32" w:rsidRDefault="008A2E32" w:rsidP="003C0F03">
      <w:pPr>
        <w:pStyle w:val="Notedebasdepage"/>
      </w:pPr>
      <w:r>
        <w:rPr>
          <w:rStyle w:val="Appelnotedebasdep"/>
        </w:rPr>
        <w:footnoteRef/>
      </w:r>
      <w:r>
        <w:t xml:space="preserve"> </w:t>
      </w:r>
      <w:hyperlink r:id="rId129" w:history="1">
        <w:r>
          <w:rPr>
            <w:rStyle w:val="Lienhypertexte"/>
          </w:rPr>
          <w:t>http://www.healthdatainnovation.com/content/useful-tools-review-refine-clean-analyze-visualize-and-publish-data</w:t>
        </w:r>
      </w:hyperlink>
      <w:r>
        <w:t xml:space="preserve"> </w:t>
      </w:r>
    </w:p>
  </w:footnote>
  <w:footnote w:id="142">
    <w:p w14:paraId="14860629" w14:textId="77777777" w:rsidR="008A2E32" w:rsidRDefault="008A2E32" w:rsidP="003C0F03">
      <w:pPr>
        <w:pStyle w:val="Notedebasdepage"/>
      </w:pPr>
      <w:r>
        <w:rPr>
          <w:rStyle w:val="Appelnotedebasdep"/>
        </w:rPr>
        <w:footnoteRef/>
      </w:r>
      <w:r>
        <w:t xml:space="preserve"> </w:t>
      </w:r>
      <w:hyperlink r:id="rId130" w:history="1">
        <w:r>
          <w:rPr>
            <w:rStyle w:val="Lienhypertexte"/>
          </w:rPr>
          <w:t>http://blog.opendata.ac.tz/</w:t>
        </w:r>
      </w:hyperlink>
      <w:r>
        <w:t xml:space="preserve"> </w:t>
      </w:r>
    </w:p>
  </w:footnote>
  <w:footnote w:id="143">
    <w:p w14:paraId="508CDA3B" w14:textId="77777777" w:rsidR="008A2E32" w:rsidRDefault="008A2E32" w:rsidP="004C4146">
      <w:pPr>
        <w:pStyle w:val="Notedebasdepage"/>
      </w:pPr>
      <w:r>
        <w:rPr>
          <w:rStyle w:val="Appelnotedebasdep"/>
        </w:rPr>
        <w:footnoteRef/>
      </w:r>
      <w:r>
        <w:t xml:space="preserve"> </w:t>
      </w:r>
      <w:hyperlink r:id="rId131" w:history="1">
        <w:r>
          <w:rPr>
            <w:rStyle w:val="Lienhypertexte"/>
          </w:rPr>
          <w:t>https://www.gov.uk/government/groups/public-sector-transparency-board</w:t>
        </w:r>
      </w:hyperlink>
      <w:r>
        <w:t xml:space="preserve"> </w:t>
      </w:r>
    </w:p>
  </w:footnote>
  <w:footnote w:id="144">
    <w:p w14:paraId="73D0B451" w14:textId="77777777" w:rsidR="008A2E32" w:rsidRDefault="008A2E32" w:rsidP="004C4146">
      <w:pPr>
        <w:pStyle w:val="Notedebasdepage"/>
        <w:spacing w:after="120"/>
      </w:pPr>
      <w:r>
        <w:rPr>
          <w:rStyle w:val="Appelnotedebasdep"/>
        </w:rPr>
        <w:footnoteRef/>
      </w:r>
      <w:r>
        <w:t xml:space="preserve"> </w:t>
      </w:r>
      <w:hyperlink r:id="rId132" w:history="1">
        <w:r>
          <w:rPr>
            <w:rStyle w:val="Lienhypertexte"/>
          </w:rPr>
          <w:t>https://fr.wikipedia.org/wiki/Hackathon</w:t>
        </w:r>
      </w:hyperlink>
      <w:r>
        <w:t xml:space="preserve"> </w:t>
      </w:r>
    </w:p>
  </w:footnote>
  <w:footnote w:id="145">
    <w:p w14:paraId="50A45836" w14:textId="1B78FC28" w:rsidR="008A2E32" w:rsidRDefault="008A2E32">
      <w:pPr>
        <w:pStyle w:val="Notedebasdepage"/>
      </w:pPr>
      <w:r>
        <w:rPr>
          <w:rStyle w:val="Appelnotedebasdep"/>
        </w:rPr>
        <w:footnoteRef/>
      </w:r>
      <w:r>
        <w:t xml:space="preserve"> Il semble au vu des rencontres que des experts nationaux ont les compétences requises pour cette tâche. Cependant, plusieurs personnes ont également mentionné l’absence de compétences ou de formateurs au niveau nationale sur les technologies comme DCAT. Il conviendra donc de faire un cahier des charges précis et de vérifier l’adéquation des profiles.</w:t>
      </w:r>
    </w:p>
  </w:footnote>
  <w:footnote w:id="146">
    <w:p w14:paraId="4A974AFD" w14:textId="77777777" w:rsidR="008A2E32" w:rsidRDefault="008A2E32" w:rsidP="004C4146">
      <w:pPr>
        <w:pStyle w:val="Notedebasdepage"/>
        <w:spacing w:after="120"/>
      </w:pPr>
      <w:r>
        <w:rPr>
          <w:rStyle w:val="Appelnotedebasdep"/>
        </w:rPr>
        <w:footnoteRef/>
      </w:r>
      <w:r>
        <w:t xml:space="preserve"> </w:t>
      </w:r>
      <w:hyperlink r:id="rId133" w:history="1">
        <w:r>
          <w:rPr>
            <w:rStyle w:val="Lienhypertexte"/>
          </w:rPr>
          <w:t>https://www.w3.org/TR/vocab-dcat/</w:t>
        </w:r>
      </w:hyperlink>
      <w:r>
        <w:t xml:space="preserve"> </w:t>
      </w:r>
    </w:p>
  </w:footnote>
  <w:footnote w:id="147">
    <w:p w14:paraId="045812A5" w14:textId="40E59970" w:rsidR="008A2E32" w:rsidRDefault="008A2E32" w:rsidP="00836401">
      <w:pPr>
        <w:pStyle w:val="Notedebasdepage"/>
      </w:pPr>
      <w:r>
        <w:rPr>
          <w:rStyle w:val="Appelnotedebasdep"/>
        </w:rPr>
        <w:footnoteRef/>
      </w:r>
      <w:r>
        <w:t xml:space="preserve"> </w:t>
      </w:r>
      <w:r w:rsidRPr="00895E17">
        <w:t>http://opendatatoolkit.worldbank.org/fr/technology.html</w:t>
      </w:r>
    </w:p>
  </w:footnote>
  <w:footnote w:id="148">
    <w:p w14:paraId="41CFF2D9" w14:textId="77777777" w:rsidR="008A2E32" w:rsidRDefault="008A2E32" w:rsidP="00836401">
      <w:pPr>
        <w:pStyle w:val="Notedebasdepage"/>
      </w:pPr>
      <w:r>
        <w:rPr>
          <w:rStyle w:val="Appelnotedebasdep"/>
        </w:rPr>
        <w:footnoteRef/>
      </w:r>
      <w:r>
        <w:t xml:space="preserve"> </w:t>
      </w:r>
      <w:hyperlink r:id="rId134" w:history="1">
        <w:r>
          <w:rPr>
            <w:rStyle w:val="Lienhypertexte"/>
          </w:rPr>
          <w:t>http://www.safe.com/webinar/open-data-portals-9-solutions-and-how-they-compare/</w:t>
        </w:r>
      </w:hyperlink>
      <w:r>
        <w:t xml:space="preserve"> </w:t>
      </w:r>
    </w:p>
  </w:footnote>
  <w:footnote w:id="149">
    <w:p w14:paraId="61A43D6E" w14:textId="77777777" w:rsidR="008A2E32" w:rsidRDefault="008A2E32" w:rsidP="00836401">
      <w:pPr>
        <w:pStyle w:val="Notedebasdepage"/>
      </w:pPr>
      <w:r>
        <w:rPr>
          <w:rStyle w:val="Appelnotedebasdep"/>
        </w:rPr>
        <w:footnoteRef/>
      </w:r>
      <w:r>
        <w:t xml:space="preserve"> </w:t>
      </w:r>
      <w:hyperlink r:id="rId135" w:history="1">
        <w:r>
          <w:rPr>
            <w:rStyle w:val="Lienhypertexte"/>
          </w:rPr>
          <w:t>http://knowhow.opendatamonitor.eu/odresearch/open-data-software-and-apis/</w:t>
        </w:r>
      </w:hyperlink>
      <w:r>
        <w:t xml:space="preserve"> </w:t>
      </w:r>
    </w:p>
  </w:footnote>
  <w:footnote w:id="150">
    <w:p w14:paraId="74D5938D" w14:textId="77777777" w:rsidR="008A2E32" w:rsidRDefault="008A2E32" w:rsidP="00836401">
      <w:pPr>
        <w:pStyle w:val="Notedebasdepage"/>
      </w:pPr>
      <w:r>
        <w:rPr>
          <w:rStyle w:val="Appelnotedebasdep"/>
        </w:rPr>
        <w:footnoteRef/>
      </w:r>
      <w:r>
        <w:t xml:space="preserve"> </w:t>
      </w:r>
      <w:hyperlink r:id="rId136" w:history="1">
        <w:r>
          <w:rPr>
            <w:rStyle w:val="Lienhypertexte"/>
          </w:rPr>
          <w:t>http://data.gov.uk/category/tags/open-data-portal</w:t>
        </w:r>
      </w:hyperlink>
      <w:r>
        <w:t xml:space="preserve"> </w:t>
      </w:r>
    </w:p>
  </w:footnote>
  <w:footnote w:id="151">
    <w:p w14:paraId="545B31FC" w14:textId="77777777" w:rsidR="008A2E32" w:rsidRDefault="008A2E32" w:rsidP="004C4146">
      <w:pPr>
        <w:pStyle w:val="Notedebasdepage"/>
      </w:pPr>
      <w:r>
        <w:rPr>
          <w:rStyle w:val="Appelnotedebasdep"/>
        </w:rPr>
        <w:footnoteRef/>
      </w:r>
      <w:r>
        <w:t xml:space="preserve"> </w:t>
      </w:r>
      <w:hyperlink r:id="rId137" w:history="1">
        <w:r>
          <w:rPr>
            <w:rStyle w:val="Lienhypertexte"/>
          </w:rPr>
          <w:t>http://www.datajournalismhandbook.org/</w:t>
        </w:r>
      </w:hyperlink>
      <w:r>
        <w:t xml:space="preserve"> </w:t>
      </w:r>
    </w:p>
  </w:footnote>
  <w:footnote w:id="152">
    <w:p w14:paraId="49998044" w14:textId="77777777" w:rsidR="008A2E32" w:rsidRDefault="008A2E32" w:rsidP="004C4146">
      <w:pPr>
        <w:pStyle w:val="Notedebasdepage"/>
      </w:pPr>
      <w:r>
        <w:rPr>
          <w:rStyle w:val="Appelnotedebasdep"/>
        </w:rPr>
        <w:footnoteRef/>
      </w:r>
      <w:r>
        <w:t xml:space="preserve"> </w:t>
      </w:r>
      <w:hyperlink r:id="rId138" w:history="1">
        <w:r>
          <w:rPr>
            <w:rStyle w:val="Lienhypertexte"/>
          </w:rPr>
          <w:t>http://www.codeforafrica.org/</w:t>
        </w:r>
      </w:hyperlink>
      <w:r>
        <w:t xml:space="preserve"> </w:t>
      </w:r>
    </w:p>
  </w:footnote>
  <w:footnote w:id="153">
    <w:p w14:paraId="20DA83E0" w14:textId="77777777" w:rsidR="008A2E32" w:rsidRDefault="008A2E32" w:rsidP="004C4146">
      <w:pPr>
        <w:pStyle w:val="Notedebasdepage"/>
      </w:pPr>
      <w:r>
        <w:rPr>
          <w:rStyle w:val="Appelnotedebasdep"/>
        </w:rPr>
        <w:footnoteRef/>
      </w:r>
      <w:r>
        <w:t xml:space="preserve"> </w:t>
      </w:r>
      <w:hyperlink r:id="rId139" w:history="1">
        <w:r>
          <w:rPr>
            <w:rStyle w:val="Lienhypertexte"/>
          </w:rPr>
          <w:t>http://www.code4kenya.org/</w:t>
        </w:r>
      </w:hyperlink>
      <w:r>
        <w:t xml:space="preserve"> </w:t>
      </w:r>
    </w:p>
  </w:footnote>
  <w:footnote w:id="154">
    <w:p w14:paraId="7A01F3AD" w14:textId="77777777" w:rsidR="008A2E32" w:rsidRDefault="008A2E32" w:rsidP="004C4146">
      <w:pPr>
        <w:pStyle w:val="Notedebasdepage"/>
      </w:pPr>
      <w:r>
        <w:rPr>
          <w:rStyle w:val="Appelnotedebasdep"/>
        </w:rPr>
        <w:footnoteRef/>
      </w:r>
      <w:r>
        <w:t xml:space="preserve"> </w:t>
      </w:r>
      <w:hyperlink r:id="rId140" w:history="1">
        <w:r>
          <w:rPr>
            <w:rStyle w:val="Lienhypertexte"/>
          </w:rPr>
          <w:t>http://mlab.co.ke/</w:t>
        </w:r>
      </w:hyperlink>
      <w:r>
        <w:t xml:space="preserve"> </w:t>
      </w:r>
    </w:p>
  </w:footnote>
  <w:footnote w:id="155">
    <w:p w14:paraId="37EE22BE" w14:textId="77777777" w:rsidR="008A2E32" w:rsidRDefault="008A2E32" w:rsidP="004C4146">
      <w:pPr>
        <w:pStyle w:val="Notedebasdepage"/>
      </w:pPr>
      <w:r>
        <w:rPr>
          <w:rStyle w:val="Appelnotedebasdep"/>
        </w:rPr>
        <w:footnoteRef/>
      </w:r>
      <w:r>
        <w:t xml:space="preserve"> </w:t>
      </w:r>
      <w:hyperlink r:id="rId141" w:history="1">
        <w:r>
          <w:rPr>
            <w:rStyle w:val="Lienhypertexte"/>
          </w:rPr>
          <w:t>http://www.mobilewebghana.org/</w:t>
        </w:r>
      </w:hyperlink>
      <w:r>
        <w:t xml:space="preserve"> </w:t>
      </w:r>
    </w:p>
  </w:footnote>
  <w:footnote w:id="156">
    <w:p w14:paraId="45B7A645" w14:textId="77777777" w:rsidR="008A2E32" w:rsidRDefault="008A2E32" w:rsidP="004C4146">
      <w:pPr>
        <w:pStyle w:val="Notedebasdepage"/>
      </w:pPr>
      <w:r>
        <w:rPr>
          <w:rStyle w:val="Appelnotedebasdep"/>
        </w:rPr>
        <w:footnoteRef/>
      </w:r>
      <w:r>
        <w:t xml:space="preserve"> </w:t>
      </w:r>
      <w:hyperlink r:id="rId142" w:history="1">
        <w:r>
          <w:rPr>
            <w:rStyle w:val="Lienhypertexte"/>
          </w:rPr>
          <w:t>http://labs.webfoundation.org/</w:t>
        </w:r>
      </w:hyperlink>
      <w:r>
        <w:t xml:space="preserve"> </w:t>
      </w:r>
    </w:p>
  </w:footnote>
  <w:footnote w:id="157">
    <w:p w14:paraId="31727757" w14:textId="77777777" w:rsidR="008A2E32" w:rsidRDefault="008A2E32" w:rsidP="004E3B4A">
      <w:pPr>
        <w:pStyle w:val="Notedebasdepage"/>
      </w:pPr>
      <w:r>
        <w:rPr>
          <w:rStyle w:val="Appelnotedebasdep"/>
        </w:rPr>
        <w:footnoteRef/>
      </w:r>
      <w:r>
        <w:t xml:space="preserve"> </w:t>
      </w:r>
      <w:hyperlink r:id="rId143" w:history="1">
        <w:r>
          <w:rPr>
            <w:rStyle w:val="Lienhypertexte"/>
          </w:rPr>
          <w:t>http://www.dlab.or.tz/</w:t>
        </w:r>
      </w:hyperlink>
      <w:r>
        <w:t xml:space="preserve"> </w:t>
      </w:r>
    </w:p>
  </w:footnote>
  <w:footnote w:id="158">
    <w:p w14:paraId="44559B40" w14:textId="77777777" w:rsidR="004E3B4A" w:rsidRDefault="004E3B4A" w:rsidP="004E3B4A">
      <w:pPr>
        <w:pStyle w:val="Notedebasdepage"/>
      </w:pPr>
      <w:r>
        <w:rPr>
          <w:rStyle w:val="Appelnotedebasdep"/>
        </w:rPr>
        <w:footnoteRef/>
      </w:r>
      <w:r>
        <w:t xml:space="preserve"> </w:t>
      </w:r>
      <w:hyperlink r:id="rId144" w:history="1">
        <w:r w:rsidRPr="009F5D07">
          <w:rPr>
            <w:rStyle w:val="Lienhypertexte"/>
          </w:rPr>
          <w:t>https://www.etalab.gouv.fr/</w:t>
        </w:r>
      </w:hyperlink>
      <w: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5E30B6" w14:textId="16739E7C" w:rsidR="00F80BE2" w:rsidRDefault="00E8606D">
    <w:pPr>
      <w:pStyle w:val="En-tte"/>
    </w:pPr>
    <w:r>
      <w:rPr>
        <w:noProof/>
      </w:rPr>
      <w:pict w14:anchorId="1B5E94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828719" o:spid="_x0000_s2050" type="#_x0000_t136" style="position:absolute;margin-left:0;margin-top:0;width:399.7pt;height:239.8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DC2F00" w14:textId="41CE8B6E" w:rsidR="00F80BE2" w:rsidRDefault="00E8606D">
    <w:pPr>
      <w:pStyle w:val="En-tte"/>
    </w:pPr>
    <w:r>
      <w:rPr>
        <w:noProof/>
      </w:rPr>
      <w:pict w14:anchorId="243C8B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828720" o:spid="_x0000_s2051" type="#_x0000_t136" style="position:absolute;margin-left:0;margin-top:0;width:399.7pt;height:239.8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A03C6C" w14:textId="5FAA2A53" w:rsidR="008A2E32" w:rsidRDefault="00E8606D">
    <w:pPr>
      <w:pStyle w:val="En-tte"/>
    </w:pPr>
    <w:r>
      <w:rPr>
        <w:noProof/>
      </w:rPr>
      <w:pict w14:anchorId="7D73D4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828718" o:spid="_x0000_s2049" type="#_x0000_t136" style="position:absolute;margin-left:0;margin-top:0;width:399.7pt;height:239.8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p w14:paraId="6A885138" w14:textId="77777777" w:rsidR="008A2E32" w:rsidRDefault="008A2E32"/>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F36C51" w14:textId="23FD6985" w:rsidR="00F80BE2" w:rsidRDefault="00E8606D">
    <w:pPr>
      <w:pStyle w:val="En-tte"/>
    </w:pPr>
    <w:r>
      <w:rPr>
        <w:noProof/>
      </w:rPr>
      <w:pict w14:anchorId="2A4B40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828722" o:spid="_x0000_s2053" type="#_x0000_t136" style="position:absolute;margin-left:0;margin-top:0;width:399.7pt;height:239.8pt;rotation:315;z-index:-2516490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A52D8" w14:textId="524EB32F" w:rsidR="00F80BE2" w:rsidRDefault="00E8606D">
    <w:pPr>
      <w:pStyle w:val="En-tte"/>
    </w:pPr>
    <w:r>
      <w:rPr>
        <w:noProof/>
      </w:rPr>
      <w:pict w14:anchorId="0AB4B9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828723" o:spid="_x0000_s2054" type="#_x0000_t136" style="position:absolute;margin-left:0;margin-top:0;width:399.7pt;height:239.8pt;rotation:315;z-index:-2516469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D8A83D" w14:textId="54C6CFB3" w:rsidR="00F80BE2" w:rsidRDefault="00E8606D">
    <w:pPr>
      <w:pStyle w:val="En-tte"/>
    </w:pPr>
    <w:r>
      <w:rPr>
        <w:noProof/>
      </w:rPr>
      <w:pict w14:anchorId="787252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828721" o:spid="_x0000_s2052" type="#_x0000_t136" style="position:absolute;margin-left:0;margin-top:0;width:399.7pt;height:239.8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004B1C" w14:textId="40508909" w:rsidR="00F80BE2" w:rsidRDefault="00E8606D">
    <w:pPr>
      <w:pStyle w:val="En-tte"/>
    </w:pPr>
    <w:r>
      <w:rPr>
        <w:noProof/>
      </w:rPr>
      <w:pict w14:anchorId="1A68C4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828725" o:spid="_x0000_s2056" type="#_x0000_t136" style="position:absolute;margin-left:0;margin-top:0;width:399.7pt;height:239.8pt;rotation:315;z-index:-2516428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7C9839" w14:textId="42D6D181" w:rsidR="00F80BE2" w:rsidRDefault="00E8606D">
    <w:pPr>
      <w:pStyle w:val="En-tte"/>
    </w:pPr>
    <w:r>
      <w:rPr>
        <w:noProof/>
      </w:rPr>
      <w:pict w14:anchorId="11D210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828726" o:spid="_x0000_s2057" type="#_x0000_t136" style="position:absolute;margin-left:0;margin-top:0;width:399.7pt;height:239.8pt;rotation:315;z-index:-25164083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C491EC" w14:textId="564E90A0" w:rsidR="00F80BE2" w:rsidRDefault="00E8606D">
    <w:pPr>
      <w:pStyle w:val="En-tte"/>
    </w:pPr>
    <w:r>
      <w:rPr>
        <w:noProof/>
      </w:rPr>
      <w:pict w14:anchorId="1AD772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828724" o:spid="_x0000_s2055" type="#_x0000_t136" style="position:absolute;margin-left:0;margin-top:0;width:399.7pt;height:239.8pt;rotation:315;z-index:-2516449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F5BD3"/>
    <w:multiLevelType w:val="hybridMultilevel"/>
    <w:tmpl w:val="F4364A26"/>
    <w:lvl w:ilvl="0" w:tplc="C01C806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36523D"/>
    <w:multiLevelType w:val="hybridMultilevel"/>
    <w:tmpl w:val="49908932"/>
    <w:lvl w:ilvl="0" w:tplc="C01C8068">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04C0502"/>
    <w:multiLevelType w:val="hybridMultilevel"/>
    <w:tmpl w:val="A7B0BFD2"/>
    <w:lvl w:ilvl="0" w:tplc="E7A8B9BA">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5A2E91"/>
    <w:multiLevelType w:val="hybridMultilevel"/>
    <w:tmpl w:val="6D7CD088"/>
    <w:lvl w:ilvl="0" w:tplc="4358FF20">
      <w:start w:val="1"/>
      <w:numFmt w:val="bullet"/>
      <w:lvlText w:val="+"/>
      <w:lvlJc w:val="left"/>
      <w:pPr>
        <w:ind w:left="720" w:hanging="360"/>
      </w:pPr>
      <w:rPr>
        <w:rFonts w:ascii="Calibri" w:eastAsiaTheme="minorEastAsia"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0783CC1"/>
    <w:multiLevelType w:val="multilevel"/>
    <w:tmpl w:val="AD96D6C8"/>
    <w:lvl w:ilvl="0">
      <w:start w:val="1"/>
      <w:numFmt w:val="decimal"/>
      <w:lvlText w:val="%1."/>
      <w:lvlJc w:val="left"/>
      <w:pPr>
        <w:ind w:left="7200" w:hanging="360"/>
      </w:pPr>
    </w:lvl>
    <w:lvl w:ilvl="1">
      <w:start w:val="1"/>
      <w:numFmt w:val="decimal"/>
      <w:pStyle w:val="RAPrimaryQuestion"/>
      <w:lvlText w:val="%1.%2"/>
      <w:lvlJc w:val="left"/>
      <w:pPr>
        <w:ind w:left="4500" w:hanging="720"/>
      </w:pPr>
      <w:rPr>
        <w:rFonts w:cs="Times New Roman"/>
        <w:b/>
        <w:bCs w:val="0"/>
        <w:i w:val="0"/>
        <w:iCs w:val="0"/>
        <w:caps w:val="0"/>
        <w:smallCaps w:val="0"/>
        <w:strike w:val="0"/>
        <w:dstrike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RAPrimaryQuestion"/>
      <w:lvlText w:val=""/>
      <w:lvlJc w:val="left"/>
      <w:pPr>
        <w:ind w:left="1800" w:hanging="360"/>
      </w:pPr>
      <w:rPr>
        <w:rFonts w:ascii="Symbol" w:hAnsi="Symbol" w:hint="default"/>
        <w:b w:val="0"/>
        <w:bCs w:val="0"/>
        <w:i w:val="0"/>
        <w:iCs w:val="0"/>
        <w:caps w:val="0"/>
        <w:smallCaps w:val="0"/>
        <w:strike w:val="0"/>
        <w:dstrike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2520" w:hanging="720"/>
      </w:pPr>
    </w:lvl>
    <w:lvl w:ilvl="4">
      <w:start w:val="1"/>
      <w:numFmt w:val="decimal"/>
      <w:lvlText w:val="%1.%2.%3.%4.%5"/>
      <w:lvlJc w:val="left"/>
      <w:pPr>
        <w:ind w:left="3240" w:hanging="1080"/>
      </w:pPr>
    </w:lvl>
    <w:lvl w:ilvl="5">
      <w:start w:val="1"/>
      <w:numFmt w:val="decimal"/>
      <w:lvlText w:val="%1.%2.%3.%4.%5.%6"/>
      <w:lvlJc w:val="left"/>
      <w:pPr>
        <w:ind w:left="3600" w:hanging="1080"/>
      </w:pPr>
    </w:lvl>
    <w:lvl w:ilvl="6">
      <w:start w:val="1"/>
      <w:numFmt w:val="decimal"/>
      <w:lvlText w:val="%1.%2.%3.%4.%5.%6.%7"/>
      <w:lvlJc w:val="left"/>
      <w:pPr>
        <w:ind w:left="4320" w:hanging="1440"/>
      </w:pPr>
    </w:lvl>
    <w:lvl w:ilvl="7">
      <w:start w:val="1"/>
      <w:numFmt w:val="decimal"/>
      <w:lvlText w:val="%1.%2.%3.%4.%5.%6.%7.%8"/>
      <w:lvlJc w:val="left"/>
      <w:pPr>
        <w:ind w:left="4680" w:hanging="1440"/>
      </w:pPr>
    </w:lvl>
    <w:lvl w:ilvl="8">
      <w:start w:val="1"/>
      <w:numFmt w:val="decimal"/>
      <w:lvlText w:val="%1.%2.%3.%4.%5.%6.%7.%8.%9"/>
      <w:lvlJc w:val="left"/>
      <w:pPr>
        <w:ind w:left="5400" w:hanging="1800"/>
      </w:pPr>
    </w:lvl>
  </w:abstractNum>
  <w:abstractNum w:abstractNumId="5" w15:restartNumberingAfterBreak="0">
    <w:nsid w:val="01E734A5"/>
    <w:multiLevelType w:val="hybridMultilevel"/>
    <w:tmpl w:val="D59EB7FA"/>
    <w:lvl w:ilvl="0" w:tplc="4358FF20">
      <w:start w:val="1"/>
      <w:numFmt w:val="bullet"/>
      <w:lvlText w:val="+"/>
      <w:lvlJc w:val="left"/>
      <w:pPr>
        <w:ind w:left="720" w:hanging="360"/>
      </w:pPr>
      <w:rPr>
        <w:rFonts w:ascii="Calibri" w:eastAsiaTheme="minorEastAsia"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20A627C"/>
    <w:multiLevelType w:val="hybridMultilevel"/>
    <w:tmpl w:val="E67CA1A8"/>
    <w:lvl w:ilvl="0" w:tplc="6B18E9C0">
      <w:start w:val="6"/>
      <w:numFmt w:val="bullet"/>
      <w:lvlText w:val="-"/>
      <w:lvlJc w:val="left"/>
      <w:pPr>
        <w:ind w:left="720" w:hanging="360"/>
      </w:pPr>
      <w:rPr>
        <w:rFonts w:ascii="Calibri" w:eastAsiaTheme="minorHAnsi" w:hAnsi="Calibri"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26C1DCA"/>
    <w:multiLevelType w:val="hybridMultilevel"/>
    <w:tmpl w:val="BFE8B0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28C55E5"/>
    <w:multiLevelType w:val="hybridMultilevel"/>
    <w:tmpl w:val="11D6AAC8"/>
    <w:lvl w:ilvl="0" w:tplc="4358FF20">
      <w:start w:val="1"/>
      <w:numFmt w:val="bullet"/>
      <w:lvlText w:val="+"/>
      <w:lvlJc w:val="left"/>
      <w:pPr>
        <w:ind w:left="720" w:hanging="360"/>
      </w:pPr>
      <w:rPr>
        <w:rFonts w:ascii="Calibri" w:eastAsiaTheme="minorEastAsia"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4266289"/>
    <w:multiLevelType w:val="hybridMultilevel"/>
    <w:tmpl w:val="C5863B9C"/>
    <w:lvl w:ilvl="0" w:tplc="4358FF20">
      <w:start w:val="1"/>
      <w:numFmt w:val="bullet"/>
      <w:lvlText w:val="+"/>
      <w:lvlJc w:val="left"/>
      <w:pPr>
        <w:ind w:left="720" w:hanging="360"/>
      </w:pPr>
      <w:rPr>
        <w:rFonts w:ascii="Calibri" w:eastAsiaTheme="minorEastAsia" w:hAnsi="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5681C26"/>
    <w:multiLevelType w:val="hybridMultilevel"/>
    <w:tmpl w:val="1554832E"/>
    <w:lvl w:ilvl="0" w:tplc="C01C806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2F4A08"/>
    <w:multiLevelType w:val="hybridMultilevel"/>
    <w:tmpl w:val="C6763B4A"/>
    <w:lvl w:ilvl="0" w:tplc="4358FF20">
      <w:start w:val="1"/>
      <w:numFmt w:val="bullet"/>
      <w:lvlText w:val="+"/>
      <w:lvlJc w:val="left"/>
      <w:pPr>
        <w:ind w:left="720" w:hanging="360"/>
      </w:pPr>
      <w:rPr>
        <w:rFonts w:ascii="Calibri" w:eastAsiaTheme="minorEastAsia" w:hAnsi="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B54BF9"/>
    <w:multiLevelType w:val="hybridMultilevel"/>
    <w:tmpl w:val="9EFE2746"/>
    <w:lvl w:ilvl="0" w:tplc="E7A8B9BA">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A24EAE"/>
    <w:multiLevelType w:val="hybridMultilevel"/>
    <w:tmpl w:val="45E60560"/>
    <w:lvl w:ilvl="0" w:tplc="040C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0BE46461"/>
    <w:multiLevelType w:val="hybridMultilevel"/>
    <w:tmpl w:val="8898A88C"/>
    <w:lvl w:ilvl="0" w:tplc="890E4F5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0C013D60"/>
    <w:multiLevelType w:val="hybridMultilevel"/>
    <w:tmpl w:val="9E68AB3E"/>
    <w:lvl w:ilvl="0" w:tplc="C01C806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D331FE7"/>
    <w:multiLevelType w:val="hybridMultilevel"/>
    <w:tmpl w:val="326848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0D9A048E"/>
    <w:multiLevelType w:val="hybridMultilevel"/>
    <w:tmpl w:val="DA5EEF24"/>
    <w:lvl w:ilvl="0" w:tplc="E7A8B9BA">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0DD42ECC"/>
    <w:multiLevelType w:val="hybridMultilevel"/>
    <w:tmpl w:val="0ACE0286"/>
    <w:lvl w:ilvl="0" w:tplc="040C0001">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0AB107E"/>
    <w:multiLevelType w:val="hybridMultilevel"/>
    <w:tmpl w:val="D31A49EE"/>
    <w:lvl w:ilvl="0" w:tplc="C01C806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0CA4BD5"/>
    <w:multiLevelType w:val="hybridMultilevel"/>
    <w:tmpl w:val="B94C1812"/>
    <w:lvl w:ilvl="0" w:tplc="1594358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1312997"/>
    <w:multiLevelType w:val="hybridMultilevel"/>
    <w:tmpl w:val="6FB4B89A"/>
    <w:lvl w:ilvl="0" w:tplc="E7A8B9BA">
      <w:start w:val="2"/>
      <w:numFmt w:val="bullet"/>
      <w:lvlText w:val="-"/>
      <w:lvlJc w:val="left"/>
      <w:pPr>
        <w:ind w:left="720" w:hanging="360"/>
      </w:pPr>
      <w:rPr>
        <w:rFonts w:ascii="Calibri" w:eastAsiaTheme="minorHAnsi" w:hAnsi="Calibri" w:cs="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14A7916"/>
    <w:multiLevelType w:val="hybridMultilevel"/>
    <w:tmpl w:val="1A686346"/>
    <w:lvl w:ilvl="0" w:tplc="4358FF20">
      <w:start w:val="1"/>
      <w:numFmt w:val="bullet"/>
      <w:lvlText w:val="+"/>
      <w:lvlJc w:val="left"/>
      <w:pPr>
        <w:ind w:left="720" w:hanging="360"/>
      </w:pPr>
      <w:rPr>
        <w:rFonts w:ascii="Calibri" w:eastAsiaTheme="minorEastAsia"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1F108CD"/>
    <w:multiLevelType w:val="hybridMultilevel"/>
    <w:tmpl w:val="BABEAC3A"/>
    <w:lvl w:ilvl="0" w:tplc="E7A8B9BA">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2796B97"/>
    <w:multiLevelType w:val="hybridMultilevel"/>
    <w:tmpl w:val="ADB0CCA0"/>
    <w:lvl w:ilvl="0" w:tplc="9C8E9934">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40F2C80"/>
    <w:multiLevelType w:val="hybridMultilevel"/>
    <w:tmpl w:val="D8FE1FF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6" w15:restartNumberingAfterBreak="0">
    <w:nsid w:val="157D013A"/>
    <w:multiLevelType w:val="hybridMultilevel"/>
    <w:tmpl w:val="6F7EAB6E"/>
    <w:lvl w:ilvl="0" w:tplc="3BAC9B3A">
      <w:start w:val="6"/>
      <w:numFmt w:val="bullet"/>
      <w:lvlText w:val="0"/>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97310AE"/>
    <w:multiLevelType w:val="hybridMultilevel"/>
    <w:tmpl w:val="438CD2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1A75267D"/>
    <w:multiLevelType w:val="hybridMultilevel"/>
    <w:tmpl w:val="9BC8E22E"/>
    <w:lvl w:ilvl="0" w:tplc="C01C806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1D172102"/>
    <w:multiLevelType w:val="hybridMultilevel"/>
    <w:tmpl w:val="CF64E80E"/>
    <w:lvl w:ilvl="0" w:tplc="4358FF20">
      <w:start w:val="1"/>
      <w:numFmt w:val="bullet"/>
      <w:lvlText w:val="+"/>
      <w:lvlJc w:val="left"/>
      <w:pPr>
        <w:ind w:left="720" w:hanging="360"/>
      </w:pPr>
      <w:rPr>
        <w:rFonts w:ascii="Calibri" w:eastAsiaTheme="minorEastAsia"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1D464E15"/>
    <w:multiLevelType w:val="hybridMultilevel"/>
    <w:tmpl w:val="7F46182C"/>
    <w:lvl w:ilvl="0" w:tplc="6B18E9C0">
      <w:start w:val="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F6238C3"/>
    <w:multiLevelType w:val="hybridMultilevel"/>
    <w:tmpl w:val="C0A07056"/>
    <w:lvl w:ilvl="0" w:tplc="3BAC9B3A">
      <w:start w:val="6"/>
      <w:numFmt w:val="bullet"/>
      <w:lvlText w:val="0"/>
      <w:lvlJc w:val="left"/>
      <w:pPr>
        <w:ind w:left="720" w:hanging="360"/>
      </w:pPr>
      <w:rPr>
        <w:rFonts w:ascii="Calibri" w:eastAsiaTheme="minorHAnsi" w:hAnsi="Calibri"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1697AA9"/>
    <w:multiLevelType w:val="hybridMultilevel"/>
    <w:tmpl w:val="FB9C23DA"/>
    <w:lvl w:ilvl="0" w:tplc="B5D0801A">
      <w:start w:val="1"/>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22F302A4"/>
    <w:multiLevelType w:val="hybridMultilevel"/>
    <w:tmpl w:val="E9C6D176"/>
    <w:lvl w:ilvl="0" w:tplc="C01C806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4ED43E8"/>
    <w:multiLevelType w:val="hybridMultilevel"/>
    <w:tmpl w:val="BC2EBE92"/>
    <w:lvl w:ilvl="0" w:tplc="C01C806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256E30F1"/>
    <w:multiLevelType w:val="hybridMultilevel"/>
    <w:tmpl w:val="A26EC05A"/>
    <w:lvl w:ilvl="0" w:tplc="3BAC9B3A">
      <w:start w:val="6"/>
      <w:numFmt w:val="bullet"/>
      <w:lvlText w:val="0"/>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27547D03"/>
    <w:multiLevelType w:val="hybridMultilevel"/>
    <w:tmpl w:val="5226CE9C"/>
    <w:lvl w:ilvl="0" w:tplc="3BAC9B3A">
      <w:start w:val="6"/>
      <w:numFmt w:val="bullet"/>
      <w:lvlText w:val="0"/>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94E5DBA"/>
    <w:multiLevelType w:val="hybridMultilevel"/>
    <w:tmpl w:val="F36403B2"/>
    <w:lvl w:ilvl="0" w:tplc="E7A8B9BA">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29E57F46"/>
    <w:multiLevelType w:val="hybridMultilevel"/>
    <w:tmpl w:val="3314022E"/>
    <w:lvl w:ilvl="0" w:tplc="C01C806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9ED2D91"/>
    <w:multiLevelType w:val="hybridMultilevel"/>
    <w:tmpl w:val="91BA28FA"/>
    <w:lvl w:ilvl="0" w:tplc="4358FF20">
      <w:start w:val="1"/>
      <w:numFmt w:val="bullet"/>
      <w:lvlText w:val="+"/>
      <w:lvlJc w:val="left"/>
      <w:pPr>
        <w:ind w:left="720" w:hanging="360"/>
      </w:pPr>
      <w:rPr>
        <w:rFonts w:ascii="Calibri" w:eastAsiaTheme="minorEastAsia"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AB933A6"/>
    <w:multiLevelType w:val="hybridMultilevel"/>
    <w:tmpl w:val="5BF2A6AE"/>
    <w:lvl w:ilvl="0" w:tplc="3BAC9B3A">
      <w:start w:val="6"/>
      <w:numFmt w:val="bullet"/>
      <w:lvlText w:val="0"/>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C155953"/>
    <w:multiLevelType w:val="hybridMultilevel"/>
    <w:tmpl w:val="35184A72"/>
    <w:lvl w:ilvl="0" w:tplc="4358FF20">
      <w:start w:val="1"/>
      <w:numFmt w:val="bullet"/>
      <w:lvlText w:val="+"/>
      <w:lvlJc w:val="left"/>
      <w:pPr>
        <w:ind w:left="720" w:hanging="360"/>
      </w:pPr>
      <w:rPr>
        <w:rFonts w:ascii="Calibri" w:eastAsiaTheme="minorEastAsia"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2D432CF5"/>
    <w:multiLevelType w:val="hybridMultilevel"/>
    <w:tmpl w:val="D7BE2CC2"/>
    <w:lvl w:ilvl="0" w:tplc="C01C806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F0D3B4D"/>
    <w:multiLevelType w:val="hybridMultilevel"/>
    <w:tmpl w:val="5C78F01C"/>
    <w:lvl w:ilvl="0" w:tplc="4358FF20">
      <w:start w:val="1"/>
      <w:numFmt w:val="bullet"/>
      <w:lvlText w:val="+"/>
      <w:lvlJc w:val="left"/>
      <w:pPr>
        <w:ind w:left="720" w:hanging="360"/>
      </w:pPr>
      <w:rPr>
        <w:rFonts w:ascii="Calibri" w:eastAsiaTheme="minorEastAsia"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304337EF"/>
    <w:multiLevelType w:val="hybridMultilevel"/>
    <w:tmpl w:val="1A385566"/>
    <w:lvl w:ilvl="0" w:tplc="71402BD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306729C4"/>
    <w:multiLevelType w:val="hybridMultilevel"/>
    <w:tmpl w:val="D7B00CB8"/>
    <w:lvl w:ilvl="0" w:tplc="E7A8B9BA">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314A33C3"/>
    <w:multiLevelType w:val="hybridMultilevel"/>
    <w:tmpl w:val="07D4921E"/>
    <w:lvl w:ilvl="0" w:tplc="E7A8B9BA">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31652871"/>
    <w:multiLevelType w:val="hybridMultilevel"/>
    <w:tmpl w:val="57A02854"/>
    <w:lvl w:ilvl="0" w:tplc="4358FF20">
      <w:start w:val="1"/>
      <w:numFmt w:val="bullet"/>
      <w:lvlText w:val="+"/>
      <w:lvlJc w:val="left"/>
      <w:pPr>
        <w:ind w:left="720" w:hanging="360"/>
      </w:pPr>
      <w:rPr>
        <w:rFonts w:ascii="Calibri" w:eastAsiaTheme="minorEastAsia"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31B828DE"/>
    <w:multiLevelType w:val="hybridMultilevel"/>
    <w:tmpl w:val="EFF40E16"/>
    <w:lvl w:ilvl="0" w:tplc="E7A8B9BA">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352348E4"/>
    <w:multiLevelType w:val="hybridMultilevel"/>
    <w:tmpl w:val="27DA5DDC"/>
    <w:lvl w:ilvl="0" w:tplc="4358FF20">
      <w:start w:val="1"/>
      <w:numFmt w:val="bullet"/>
      <w:lvlText w:val="+"/>
      <w:lvlJc w:val="left"/>
      <w:pPr>
        <w:ind w:left="720" w:hanging="360"/>
      </w:pPr>
      <w:rPr>
        <w:rFonts w:ascii="Calibri" w:eastAsiaTheme="minorEastAsia" w:hAnsi="Calibr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36E47A74"/>
    <w:multiLevelType w:val="hybridMultilevel"/>
    <w:tmpl w:val="31DC22CA"/>
    <w:lvl w:ilvl="0" w:tplc="4358FF20">
      <w:start w:val="1"/>
      <w:numFmt w:val="bullet"/>
      <w:lvlText w:val="+"/>
      <w:lvlJc w:val="left"/>
      <w:pPr>
        <w:ind w:left="720" w:hanging="360"/>
      </w:pPr>
      <w:rPr>
        <w:rFonts w:ascii="Calibri" w:eastAsiaTheme="minorEastAsia"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882162B"/>
    <w:multiLevelType w:val="hybridMultilevel"/>
    <w:tmpl w:val="861A305A"/>
    <w:lvl w:ilvl="0" w:tplc="4358FF20">
      <w:start w:val="1"/>
      <w:numFmt w:val="bullet"/>
      <w:lvlText w:val="+"/>
      <w:lvlJc w:val="left"/>
      <w:pPr>
        <w:ind w:left="720" w:hanging="360"/>
      </w:pPr>
      <w:rPr>
        <w:rFonts w:ascii="Calibri" w:eastAsiaTheme="minorEastAsia"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39C924F1"/>
    <w:multiLevelType w:val="hybridMultilevel"/>
    <w:tmpl w:val="E976E8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3A2E25AC"/>
    <w:multiLevelType w:val="hybridMultilevel"/>
    <w:tmpl w:val="D6CCDA4A"/>
    <w:lvl w:ilvl="0" w:tplc="E7A8B9BA">
      <w:start w:val="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A493CB4"/>
    <w:multiLevelType w:val="hybridMultilevel"/>
    <w:tmpl w:val="2D58E4AE"/>
    <w:lvl w:ilvl="0" w:tplc="4358FF20">
      <w:start w:val="1"/>
      <w:numFmt w:val="bullet"/>
      <w:lvlText w:val="+"/>
      <w:lvlJc w:val="left"/>
      <w:pPr>
        <w:ind w:left="720" w:hanging="360"/>
      </w:pPr>
      <w:rPr>
        <w:rFonts w:ascii="Calibri" w:eastAsiaTheme="minorEastAsia"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3E3C4682"/>
    <w:multiLevelType w:val="hybridMultilevel"/>
    <w:tmpl w:val="38929F42"/>
    <w:lvl w:ilvl="0" w:tplc="E7A8B9BA">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F3B6BB0"/>
    <w:multiLevelType w:val="hybridMultilevel"/>
    <w:tmpl w:val="21C6EF2C"/>
    <w:lvl w:ilvl="0" w:tplc="4358FF20">
      <w:start w:val="1"/>
      <w:numFmt w:val="bullet"/>
      <w:lvlText w:val="+"/>
      <w:lvlJc w:val="left"/>
      <w:pPr>
        <w:ind w:left="720" w:hanging="360"/>
      </w:pPr>
      <w:rPr>
        <w:rFonts w:ascii="Calibri" w:eastAsiaTheme="minorEastAsia"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45232031"/>
    <w:multiLevelType w:val="hybridMultilevel"/>
    <w:tmpl w:val="5BB0EA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8" w15:restartNumberingAfterBreak="0">
    <w:nsid w:val="453A74FB"/>
    <w:multiLevelType w:val="hybridMultilevel"/>
    <w:tmpl w:val="6B12F164"/>
    <w:lvl w:ilvl="0" w:tplc="C01C806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5563163"/>
    <w:multiLevelType w:val="hybridMultilevel"/>
    <w:tmpl w:val="CE701998"/>
    <w:lvl w:ilvl="0" w:tplc="4358FF20">
      <w:start w:val="1"/>
      <w:numFmt w:val="bullet"/>
      <w:lvlText w:val="+"/>
      <w:lvlJc w:val="left"/>
      <w:pPr>
        <w:ind w:left="720" w:hanging="360"/>
      </w:pPr>
      <w:rPr>
        <w:rFonts w:ascii="Calibri" w:eastAsiaTheme="minorEastAsia"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656277E"/>
    <w:multiLevelType w:val="hybridMultilevel"/>
    <w:tmpl w:val="30685B52"/>
    <w:lvl w:ilvl="0" w:tplc="29C0F21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15:restartNumberingAfterBreak="0">
    <w:nsid w:val="47DF0720"/>
    <w:multiLevelType w:val="hybridMultilevel"/>
    <w:tmpl w:val="BF46516E"/>
    <w:lvl w:ilvl="0" w:tplc="78782598">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48B57C2C"/>
    <w:multiLevelType w:val="hybridMultilevel"/>
    <w:tmpl w:val="AB7896FA"/>
    <w:lvl w:ilvl="0" w:tplc="A3E2923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8C0362B"/>
    <w:multiLevelType w:val="hybridMultilevel"/>
    <w:tmpl w:val="CB06383A"/>
    <w:lvl w:ilvl="0" w:tplc="2962EC3E">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15:restartNumberingAfterBreak="0">
    <w:nsid w:val="4B850392"/>
    <w:multiLevelType w:val="hybridMultilevel"/>
    <w:tmpl w:val="3554443E"/>
    <w:lvl w:ilvl="0" w:tplc="C01C806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B901BCF"/>
    <w:multiLevelType w:val="hybridMultilevel"/>
    <w:tmpl w:val="0D92FC34"/>
    <w:lvl w:ilvl="0" w:tplc="4358FF20">
      <w:start w:val="1"/>
      <w:numFmt w:val="bullet"/>
      <w:lvlText w:val="+"/>
      <w:lvlJc w:val="left"/>
      <w:pPr>
        <w:ind w:left="720" w:hanging="360"/>
      </w:pPr>
      <w:rPr>
        <w:rFonts w:ascii="Calibri" w:eastAsiaTheme="minorEastAsia"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4DA167C5"/>
    <w:multiLevelType w:val="hybridMultilevel"/>
    <w:tmpl w:val="9C946128"/>
    <w:lvl w:ilvl="0" w:tplc="4358FF20">
      <w:start w:val="1"/>
      <w:numFmt w:val="bullet"/>
      <w:lvlText w:val="+"/>
      <w:lvlJc w:val="left"/>
      <w:pPr>
        <w:ind w:left="720" w:hanging="360"/>
      </w:pPr>
      <w:rPr>
        <w:rFonts w:ascii="Calibri" w:eastAsiaTheme="minorEastAsia"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1CF35D1"/>
    <w:multiLevelType w:val="hybridMultilevel"/>
    <w:tmpl w:val="C7E639BA"/>
    <w:lvl w:ilvl="0" w:tplc="4358FF20">
      <w:start w:val="1"/>
      <w:numFmt w:val="bullet"/>
      <w:lvlText w:val="+"/>
      <w:lvlJc w:val="left"/>
      <w:pPr>
        <w:ind w:left="720" w:hanging="360"/>
      </w:pPr>
      <w:rPr>
        <w:rFonts w:ascii="Calibri" w:eastAsiaTheme="minorEastAsia"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2AA00A4"/>
    <w:multiLevelType w:val="hybridMultilevel"/>
    <w:tmpl w:val="5CDCD26E"/>
    <w:lvl w:ilvl="0" w:tplc="3BAC9B3A">
      <w:start w:val="6"/>
      <w:numFmt w:val="bullet"/>
      <w:lvlText w:val="0"/>
      <w:lvlJc w:val="left"/>
      <w:pPr>
        <w:ind w:left="720" w:hanging="360"/>
      </w:pPr>
      <w:rPr>
        <w:rFonts w:ascii="Calibri" w:eastAsiaTheme="minorHAnsi" w:hAnsi="Calibri" w:cstheme="minorBid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15:restartNumberingAfterBreak="0">
    <w:nsid w:val="52C232A0"/>
    <w:multiLevelType w:val="hybridMultilevel"/>
    <w:tmpl w:val="CFBAA4A8"/>
    <w:lvl w:ilvl="0" w:tplc="E7A8B9BA">
      <w:start w:val="2"/>
      <w:numFmt w:val="bullet"/>
      <w:lvlText w:val="-"/>
      <w:lvlJc w:val="left"/>
      <w:pPr>
        <w:ind w:left="720" w:hanging="360"/>
      </w:pPr>
      <w:rPr>
        <w:rFonts w:ascii="Calibri" w:eastAsiaTheme="minorHAnsi" w:hAnsi="Calibri" w:cs="Calibri"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54551335"/>
    <w:multiLevelType w:val="hybridMultilevel"/>
    <w:tmpl w:val="00C6F27C"/>
    <w:lvl w:ilvl="0" w:tplc="C01C806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55D75ECF"/>
    <w:multiLevelType w:val="hybridMultilevel"/>
    <w:tmpl w:val="097A0920"/>
    <w:lvl w:ilvl="0" w:tplc="E7A8B9BA">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566531D0"/>
    <w:multiLevelType w:val="hybridMultilevel"/>
    <w:tmpl w:val="51CA3948"/>
    <w:lvl w:ilvl="0" w:tplc="4358FF20">
      <w:start w:val="1"/>
      <w:numFmt w:val="bullet"/>
      <w:lvlText w:val="+"/>
      <w:lvlJc w:val="left"/>
      <w:pPr>
        <w:ind w:left="720" w:hanging="360"/>
      </w:pPr>
      <w:rPr>
        <w:rFonts w:ascii="Calibri" w:eastAsiaTheme="minorEastAsia"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72F6960"/>
    <w:multiLevelType w:val="hybridMultilevel"/>
    <w:tmpl w:val="BCCA29CC"/>
    <w:lvl w:ilvl="0" w:tplc="E7A8B9BA">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75C2374"/>
    <w:multiLevelType w:val="hybridMultilevel"/>
    <w:tmpl w:val="7F58E562"/>
    <w:lvl w:ilvl="0" w:tplc="9C8E9934">
      <w:start w:val="1"/>
      <w:numFmt w:val="bullet"/>
      <w:lvlText w:val="-"/>
      <w:lvlJc w:val="left"/>
      <w:pPr>
        <w:ind w:left="720" w:hanging="360"/>
      </w:pPr>
      <w:rPr>
        <w:rFonts w:ascii="Calibri" w:eastAsiaTheme="minorEastAsia" w:hAnsi="Calibri" w:cstheme="minorBid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 w15:restartNumberingAfterBreak="0">
    <w:nsid w:val="57953CEC"/>
    <w:multiLevelType w:val="hybridMultilevel"/>
    <w:tmpl w:val="DE2E3636"/>
    <w:lvl w:ilvl="0" w:tplc="4358FF20">
      <w:start w:val="1"/>
      <w:numFmt w:val="bullet"/>
      <w:lvlText w:val="+"/>
      <w:lvlJc w:val="left"/>
      <w:pPr>
        <w:ind w:left="720" w:hanging="360"/>
      </w:pPr>
      <w:rPr>
        <w:rFonts w:ascii="Calibri" w:eastAsiaTheme="minorEastAsia" w:hAnsi="Calibr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 w15:restartNumberingAfterBreak="0">
    <w:nsid w:val="5885290E"/>
    <w:multiLevelType w:val="hybridMultilevel"/>
    <w:tmpl w:val="8AAECC18"/>
    <w:lvl w:ilvl="0" w:tplc="E7A8B9BA">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5B4D69F9"/>
    <w:multiLevelType w:val="hybridMultilevel"/>
    <w:tmpl w:val="D3889D48"/>
    <w:lvl w:ilvl="0" w:tplc="503EF454">
      <w:start w:val="7"/>
      <w:numFmt w:val="bullet"/>
      <w:lvlText w:val="-"/>
      <w:lvlJc w:val="left"/>
      <w:pPr>
        <w:ind w:left="720" w:hanging="360"/>
      </w:pPr>
      <w:rPr>
        <w:rFonts w:ascii="Calibri" w:eastAsiaTheme="minorHAnsi" w:hAnsi="Calibri" w:cs="Calibri" w:hint="default"/>
        <w:b w:val="0"/>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5B70191C"/>
    <w:multiLevelType w:val="multilevel"/>
    <w:tmpl w:val="CE309A8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9" w15:restartNumberingAfterBreak="0">
    <w:nsid w:val="5BC30E95"/>
    <w:multiLevelType w:val="hybridMultilevel"/>
    <w:tmpl w:val="41248E52"/>
    <w:lvl w:ilvl="0" w:tplc="C01C806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BCA182A"/>
    <w:multiLevelType w:val="hybridMultilevel"/>
    <w:tmpl w:val="629C88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5CD94572"/>
    <w:multiLevelType w:val="hybridMultilevel"/>
    <w:tmpl w:val="CB4006A2"/>
    <w:lvl w:ilvl="0" w:tplc="E7A8B9BA">
      <w:start w:val="2"/>
      <w:numFmt w:val="bullet"/>
      <w:lvlText w:val="-"/>
      <w:lvlJc w:val="left"/>
      <w:pPr>
        <w:ind w:left="720" w:hanging="360"/>
      </w:pPr>
      <w:rPr>
        <w:rFonts w:ascii="Calibri" w:eastAsiaTheme="minorHAnsi" w:hAnsi="Calibri" w:cs="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E9B1B3D"/>
    <w:multiLevelType w:val="hybridMultilevel"/>
    <w:tmpl w:val="57DE3692"/>
    <w:lvl w:ilvl="0" w:tplc="4358FF20">
      <w:start w:val="1"/>
      <w:numFmt w:val="bullet"/>
      <w:lvlText w:val="+"/>
      <w:lvlJc w:val="left"/>
      <w:pPr>
        <w:ind w:left="720" w:hanging="360"/>
      </w:pPr>
      <w:rPr>
        <w:rFonts w:ascii="Calibri" w:eastAsiaTheme="minorEastAsia"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F7C5C04"/>
    <w:multiLevelType w:val="hybridMultilevel"/>
    <w:tmpl w:val="74EA983E"/>
    <w:lvl w:ilvl="0" w:tplc="C01C806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5FD07E05"/>
    <w:multiLevelType w:val="hybridMultilevel"/>
    <w:tmpl w:val="C178B15C"/>
    <w:lvl w:ilvl="0" w:tplc="6B18E9C0">
      <w:start w:val="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0154083"/>
    <w:multiLevelType w:val="hybridMultilevel"/>
    <w:tmpl w:val="42E6E6A0"/>
    <w:lvl w:ilvl="0" w:tplc="C01C806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11817F7"/>
    <w:multiLevelType w:val="hybridMultilevel"/>
    <w:tmpl w:val="248EB7F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7" w15:restartNumberingAfterBreak="0">
    <w:nsid w:val="619C6C01"/>
    <w:multiLevelType w:val="hybridMultilevel"/>
    <w:tmpl w:val="72CA52A0"/>
    <w:lvl w:ilvl="0" w:tplc="C01C806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1D506CF"/>
    <w:multiLevelType w:val="hybridMultilevel"/>
    <w:tmpl w:val="D6FAB608"/>
    <w:lvl w:ilvl="0" w:tplc="E7A8B9BA">
      <w:start w:val="2"/>
      <w:numFmt w:val="bullet"/>
      <w:lvlText w:val="-"/>
      <w:lvlJc w:val="left"/>
      <w:pPr>
        <w:ind w:left="720" w:hanging="360"/>
      </w:pPr>
      <w:rPr>
        <w:rFonts w:ascii="Calibri" w:eastAsiaTheme="minorHAnsi" w:hAnsi="Calibri" w:cs="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3712146"/>
    <w:multiLevelType w:val="hybridMultilevel"/>
    <w:tmpl w:val="753E6C98"/>
    <w:lvl w:ilvl="0" w:tplc="B5D0801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3D81A1A"/>
    <w:multiLevelType w:val="hybridMultilevel"/>
    <w:tmpl w:val="24E6F7BE"/>
    <w:lvl w:ilvl="0" w:tplc="3BAC9B3A">
      <w:start w:val="6"/>
      <w:numFmt w:val="bullet"/>
      <w:lvlText w:val="0"/>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4990F73"/>
    <w:multiLevelType w:val="hybridMultilevel"/>
    <w:tmpl w:val="A0489B70"/>
    <w:lvl w:ilvl="0" w:tplc="C01C806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5D02869"/>
    <w:multiLevelType w:val="hybridMultilevel"/>
    <w:tmpl w:val="181A1D4A"/>
    <w:lvl w:ilvl="0" w:tplc="6B18E9C0">
      <w:start w:val="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6087F37"/>
    <w:multiLevelType w:val="hybridMultilevel"/>
    <w:tmpl w:val="81B2EA90"/>
    <w:lvl w:ilvl="0" w:tplc="C01C806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6FC1810"/>
    <w:multiLevelType w:val="hybridMultilevel"/>
    <w:tmpl w:val="45E60560"/>
    <w:lvl w:ilvl="0" w:tplc="040C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5" w15:restartNumberingAfterBreak="0">
    <w:nsid w:val="67003EAD"/>
    <w:multiLevelType w:val="hybridMultilevel"/>
    <w:tmpl w:val="8A3E0566"/>
    <w:lvl w:ilvl="0" w:tplc="E7A8B9BA">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15:restartNumberingAfterBreak="0">
    <w:nsid w:val="675E41F0"/>
    <w:multiLevelType w:val="hybridMultilevel"/>
    <w:tmpl w:val="E9C84EA8"/>
    <w:lvl w:ilvl="0" w:tplc="1024935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9871FD2"/>
    <w:multiLevelType w:val="multilevel"/>
    <w:tmpl w:val="FFC49344"/>
    <w:lvl w:ilvl="0">
      <w:start w:val="3"/>
      <w:numFmt w:val="decimal"/>
      <w:lvlText w:val="%1"/>
      <w:lvlJc w:val="left"/>
      <w:pPr>
        <w:ind w:left="360" w:hanging="360"/>
      </w:pPr>
      <w:rPr>
        <w:rFonts w:cs="Times New Roman" w:hint="default"/>
      </w:rPr>
    </w:lvl>
    <w:lvl w:ilvl="1">
      <w:start w:val="8"/>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98" w15:restartNumberingAfterBreak="0">
    <w:nsid w:val="6AFD357B"/>
    <w:multiLevelType w:val="hybridMultilevel"/>
    <w:tmpl w:val="C7221F2A"/>
    <w:lvl w:ilvl="0" w:tplc="3BAC9B3A">
      <w:start w:val="6"/>
      <w:numFmt w:val="bullet"/>
      <w:lvlText w:val="0"/>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B9C0E0B"/>
    <w:multiLevelType w:val="hybridMultilevel"/>
    <w:tmpl w:val="F1E437B2"/>
    <w:lvl w:ilvl="0" w:tplc="E7A8B9BA">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15:restartNumberingAfterBreak="0">
    <w:nsid w:val="6BA73807"/>
    <w:multiLevelType w:val="hybridMultilevel"/>
    <w:tmpl w:val="229AF670"/>
    <w:lvl w:ilvl="0" w:tplc="3BAC9B3A">
      <w:start w:val="6"/>
      <w:numFmt w:val="bullet"/>
      <w:lvlText w:val="0"/>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BED3113"/>
    <w:multiLevelType w:val="hybridMultilevel"/>
    <w:tmpl w:val="CE9CC022"/>
    <w:lvl w:ilvl="0" w:tplc="9C8E9934">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D913203"/>
    <w:multiLevelType w:val="hybridMultilevel"/>
    <w:tmpl w:val="9C644FB8"/>
    <w:lvl w:ilvl="0" w:tplc="E7A8B9BA">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15:restartNumberingAfterBreak="0">
    <w:nsid w:val="6E033726"/>
    <w:multiLevelType w:val="hybridMultilevel"/>
    <w:tmpl w:val="F6F600D8"/>
    <w:lvl w:ilvl="0" w:tplc="3BAC9B3A">
      <w:start w:val="6"/>
      <w:numFmt w:val="bullet"/>
      <w:lvlText w:val="0"/>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EFD40AD"/>
    <w:multiLevelType w:val="hybridMultilevel"/>
    <w:tmpl w:val="E73203A8"/>
    <w:lvl w:ilvl="0" w:tplc="6B18E9C0">
      <w:start w:val="6"/>
      <w:numFmt w:val="bullet"/>
      <w:lvlText w:val="-"/>
      <w:lvlJc w:val="left"/>
      <w:pPr>
        <w:ind w:left="720" w:hanging="360"/>
      </w:pPr>
      <w:rPr>
        <w:rFonts w:ascii="Calibri" w:eastAsiaTheme="minorHAnsi" w:hAnsi="Calibri"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F2F3FCA"/>
    <w:multiLevelType w:val="hybridMultilevel"/>
    <w:tmpl w:val="E7961306"/>
    <w:lvl w:ilvl="0" w:tplc="6B18E9C0">
      <w:start w:val="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07D4674"/>
    <w:multiLevelType w:val="hybridMultilevel"/>
    <w:tmpl w:val="210626FE"/>
    <w:lvl w:ilvl="0" w:tplc="C01C806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115722C"/>
    <w:multiLevelType w:val="hybridMultilevel"/>
    <w:tmpl w:val="CA0A6B70"/>
    <w:lvl w:ilvl="0" w:tplc="9C8E9934">
      <w:start w:val="1"/>
      <w:numFmt w:val="bullet"/>
      <w:lvlText w:val="-"/>
      <w:lvlJc w:val="left"/>
      <w:pPr>
        <w:ind w:left="720" w:hanging="360"/>
      </w:pPr>
      <w:rPr>
        <w:rFonts w:ascii="Calibri" w:eastAsiaTheme="minorEastAsia" w:hAnsi="Calibri" w:cstheme="minorBidi"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8" w15:restartNumberingAfterBreak="0">
    <w:nsid w:val="71227FFA"/>
    <w:multiLevelType w:val="hybridMultilevel"/>
    <w:tmpl w:val="B8226B96"/>
    <w:lvl w:ilvl="0" w:tplc="3BAC9B3A">
      <w:start w:val="6"/>
      <w:numFmt w:val="bullet"/>
      <w:lvlText w:val="0"/>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1906B94"/>
    <w:multiLevelType w:val="hybridMultilevel"/>
    <w:tmpl w:val="BDC830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0" w15:restartNumberingAfterBreak="0">
    <w:nsid w:val="7232461C"/>
    <w:multiLevelType w:val="hybridMultilevel"/>
    <w:tmpl w:val="E3A282C6"/>
    <w:lvl w:ilvl="0" w:tplc="E7A8B9BA">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2AA37F5"/>
    <w:multiLevelType w:val="hybridMultilevel"/>
    <w:tmpl w:val="C34CE3CE"/>
    <w:lvl w:ilvl="0" w:tplc="E7A8B9BA">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2" w15:restartNumberingAfterBreak="0">
    <w:nsid w:val="73374554"/>
    <w:multiLevelType w:val="hybridMultilevel"/>
    <w:tmpl w:val="DB8282D2"/>
    <w:lvl w:ilvl="0" w:tplc="4358FF20">
      <w:start w:val="1"/>
      <w:numFmt w:val="bullet"/>
      <w:lvlText w:val="+"/>
      <w:lvlJc w:val="left"/>
      <w:pPr>
        <w:ind w:left="720" w:hanging="360"/>
      </w:pPr>
      <w:rPr>
        <w:rFonts w:ascii="Calibri" w:eastAsiaTheme="minorEastAsia" w:hAnsi="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6197CD6"/>
    <w:multiLevelType w:val="hybridMultilevel"/>
    <w:tmpl w:val="00D431A0"/>
    <w:lvl w:ilvl="0" w:tplc="3BAC9B3A">
      <w:start w:val="6"/>
      <w:numFmt w:val="bullet"/>
      <w:lvlText w:val="0"/>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6630022"/>
    <w:multiLevelType w:val="hybridMultilevel"/>
    <w:tmpl w:val="DBE4748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5" w15:restartNumberingAfterBreak="0">
    <w:nsid w:val="76FB59DD"/>
    <w:multiLevelType w:val="hybridMultilevel"/>
    <w:tmpl w:val="90126774"/>
    <w:lvl w:ilvl="0" w:tplc="3BAC9B3A">
      <w:start w:val="6"/>
      <w:numFmt w:val="bullet"/>
      <w:lvlText w:val="0"/>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83E4330"/>
    <w:multiLevelType w:val="hybridMultilevel"/>
    <w:tmpl w:val="9530FDDA"/>
    <w:lvl w:ilvl="0" w:tplc="E7A8B9BA">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7" w15:restartNumberingAfterBreak="0">
    <w:nsid w:val="78797A7C"/>
    <w:multiLevelType w:val="hybridMultilevel"/>
    <w:tmpl w:val="54BE6150"/>
    <w:lvl w:ilvl="0" w:tplc="C01C806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8FB109C"/>
    <w:multiLevelType w:val="hybridMultilevel"/>
    <w:tmpl w:val="EC9CDC6E"/>
    <w:lvl w:ilvl="0" w:tplc="4358FF20">
      <w:start w:val="1"/>
      <w:numFmt w:val="bullet"/>
      <w:lvlText w:val="+"/>
      <w:lvlJc w:val="left"/>
      <w:pPr>
        <w:ind w:left="720" w:hanging="360"/>
      </w:pPr>
      <w:rPr>
        <w:rFonts w:ascii="Calibri" w:eastAsiaTheme="minorEastAsia"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9E10A1C"/>
    <w:multiLevelType w:val="hybridMultilevel"/>
    <w:tmpl w:val="BC940572"/>
    <w:lvl w:ilvl="0" w:tplc="E7A8B9BA">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0" w15:restartNumberingAfterBreak="0">
    <w:nsid w:val="7B9F5599"/>
    <w:multiLevelType w:val="hybridMultilevel"/>
    <w:tmpl w:val="751AC786"/>
    <w:lvl w:ilvl="0" w:tplc="4358FF20">
      <w:start w:val="1"/>
      <w:numFmt w:val="bullet"/>
      <w:lvlText w:val="+"/>
      <w:lvlJc w:val="left"/>
      <w:pPr>
        <w:ind w:left="720" w:hanging="360"/>
      </w:pPr>
      <w:rPr>
        <w:rFonts w:ascii="Calibri" w:eastAsiaTheme="minorEastAsia" w:hAnsi="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C3D078B"/>
    <w:multiLevelType w:val="hybridMultilevel"/>
    <w:tmpl w:val="2960B2DC"/>
    <w:lvl w:ilvl="0" w:tplc="4358FF20">
      <w:start w:val="1"/>
      <w:numFmt w:val="bullet"/>
      <w:lvlText w:val="+"/>
      <w:lvlJc w:val="left"/>
      <w:pPr>
        <w:ind w:left="720" w:hanging="360"/>
      </w:pPr>
      <w:rPr>
        <w:rFonts w:ascii="Calibri" w:eastAsiaTheme="minorEastAsia" w:hAnsi="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CE41BDA"/>
    <w:multiLevelType w:val="hybridMultilevel"/>
    <w:tmpl w:val="68DE9246"/>
    <w:lvl w:ilvl="0" w:tplc="C01C806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DBC6C02"/>
    <w:multiLevelType w:val="hybridMultilevel"/>
    <w:tmpl w:val="9EDA8296"/>
    <w:lvl w:ilvl="0" w:tplc="C01C806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DCC4AA2"/>
    <w:multiLevelType w:val="hybridMultilevel"/>
    <w:tmpl w:val="FA2C093A"/>
    <w:lvl w:ilvl="0" w:tplc="3BAC9B3A">
      <w:start w:val="6"/>
      <w:numFmt w:val="bullet"/>
      <w:lvlText w:val="0"/>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DEC12A8"/>
    <w:multiLevelType w:val="hybridMultilevel"/>
    <w:tmpl w:val="EF320D5A"/>
    <w:lvl w:ilvl="0" w:tplc="9C8E9934">
      <w:start w:val="1"/>
      <w:numFmt w:val="bullet"/>
      <w:lvlText w:val="-"/>
      <w:lvlJc w:val="left"/>
      <w:pPr>
        <w:ind w:left="720" w:hanging="360"/>
      </w:pPr>
      <w:rPr>
        <w:rFonts w:ascii="Calibri" w:eastAsiaTheme="minorEastAsia" w:hAnsi="Calibri" w:cstheme="minorBid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6" w15:restartNumberingAfterBreak="0">
    <w:nsid w:val="7F0D794E"/>
    <w:multiLevelType w:val="hybridMultilevel"/>
    <w:tmpl w:val="E398D3C2"/>
    <w:lvl w:ilvl="0" w:tplc="C01C806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8"/>
  </w:num>
  <w:num w:numId="2">
    <w:abstractNumId w:val="38"/>
  </w:num>
  <w:num w:numId="3">
    <w:abstractNumId w:val="85"/>
  </w:num>
  <w:num w:numId="4">
    <w:abstractNumId w:val="87"/>
  </w:num>
  <w:num w:numId="5">
    <w:abstractNumId w:val="79"/>
  </w:num>
  <w:num w:numId="6">
    <w:abstractNumId w:val="117"/>
  </w:num>
  <w:num w:numId="7">
    <w:abstractNumId w:val="64"/>
  </w:num>
  <w:num w:numId="8">
    <w:abstractNumId w:val="58"/>
  </w:num>
  <w:num w:numId="9">
    <w:abstractNumId w:val="122"/>
  </w:num>
  <w:num w:numId="10">
    <w:abstractNumId w:val="30"/>
  </w:num>
  <w:num w:numId="11">
    <w:abstractNumId w:val="19"/>
  </w:num>
  <w:num w:numId="12">
    <w:abstractNumId w:val="33"/>
  </w:num>
  <w:num w:numId="13">
    <w:abstractNumId w:val="0"/>
  </w:num>
  <w:num w:numId="14">
    <w:abstractNumId w:val="93"/>
  </w:num>
  <w:num w:numId="15">
    <w:abstractNumId w:val="26"/>
  </w:num>
  <w:num w:numId="16">
    <w:abstractNumId w:val="105"/>
  </w:num>
  <w:num w:numId="17">
    <w:abstractNumId w:val="124"/>
  </w:num>
  <w:num w:numId="18">
    <w:abstractNumId w:val="84"/>
  </w:num>
  <w:num w:numId="19">
    <w:abstractNumId w:val="123"/>
  </w:num>
  <w:num w:numId="20">
    <w:abstractNumId w:val="92"/>
  </w:num>
  <w:num w:numId="21">
    <w:abstractNumId w:val="104"/>
  </w:num>
  <w:num w:numId="22">
    <w:abstractNumId w:val="6"/>
  </w:num>
  <w:num w:numId="23">
    <w:abstractNumId w:val="15"/>
  </w:num>
  <w:num w:numId="24">
    <w:abstractNumId w:val="10"/>
  </w:num>
  <w:num w:numId="25">
    <w:abstractNumId w:val="96"/>
  </w:num>
  <w:num w:numId="26">
    <w:abstractNumId w:val="106"/>
  </w:num>
  <w:num w:numId="27">
    <w:abstractNumId w:val="113"/>
  </w:num>
  <w:num w:numId="28">
    <w:abstractNumId w:val="42"/>
  </w:num>
  <w:num w:numId="29">
    <w:abstractNumId w:val="126"/>
  </w:num>
  <w:num w:numId="30">
    <w:abstractNumId w:val="4"/>
  </w:num>
  <w:num w:numId="31">
    <w:abstractNumId w:val="61"/>
  </w:num>
  <w:num w:numId="32">
    <w:abstractNumId w:val="116"/>
  </w:num>
  <w:num w:numId="33">
    <w:abstractNumId w:val="32"/>
  </w:num>
  <w:num w:numId="34">
    <w:abstractNumId w:val="29"/>
  </w:num>
  <w:num w:numId="35">
    <w:abstractNumId w:val="34"/>
  </w:num>
  <w:num w:numId="36">
    <w:abstractNumId w:val="97"/>
  </w:num>
  <w:num w:numId="37">
    <w:abstractNumId w:val="68"/>
  </w:num>
  <w:num w:numId="38">
    <w:abstractNumId w:val="80"/>
  </w:num>
  <w:num w:numId="39">
    <w:abstractNumId w:val="60"/>
  </w:num>
  <w:num w:numId="40">
    <w:abstractNumId w:val="70"/>
  </w:num>
  <w:num w:numId="41">
    <w:abstractNumId w:val="44"/>
  </w:num>
  <w:num w:numId="42">
    <w:abstractNumId w:val="83"/>
  </w:num>
  <w:num w:numId="43">
    <w:abstractNumId w:val="1"/>
  </w:num>
  <w:num w:numId="44">
    <w:abstractNumId w:val="77"/>
  </w:num>
  <w:num w:numId="45">
    <w:abstractNumId w:val="91"/>
  </w:num>
  <w:num w:numId="46">
    <w:abstractNumId w:val="28"/>
  </w:num>
  <w:num w:numId="47">
    <w:abstractNumId w:val="63"/>
  </w:num>
  <w:num w:numId="48">
    <w:abstractNumId w:val="14"/>
  </w:num>
  <w:num w:numId="49">
    <w:abstractNumId w:val="74"/>
  </w:num>
  <w:num w:numId="50">
    <w:abstractNumId w:val="125"/>
  </w:num>
  <w:num w:numId="51">
    <w:abstractNumId w:val="107"/>
  </w:num>
  <w:num w:numId="52">
    <w:abstractNumId w:val="101"/>
  </w:num>
  <w:num w:numId="53">
    <w:abstractNumId w:val="24"/>
  </w:num>
  <w:num w:numId="54">
    <w:abstractNumId w:val="20"/>
  </w:num>
  <w:num w:numId="55">
    <w:abstractNumId w:val="18"/>
  </w:num>
  <w:num w:numId="56">
    <w:abstractNumId w:val="8"/>
  </w:num>
  <w:num w:numId="57">
    <w:abstractNumId w:val="65"/>
  </w:num>
  <w:num w:numId="58">
    <w:abstractNumId w:val="100"/>
  </w:num>
  <w:num w:numId="59">
    <w:abstractNumId w:val="49"/>
  </w:num>
  <w:num w:numId="60">
    <w:abstractNumId w:val="69"/>
  </w:num>
  <w:num w:numId="61">
    <w:abstractNumId w:val="46"/>
  </w:num>
  <w:num w:numId="62">
    <w:abstractNumId w:val="17"/>
  </w:num>
  <w:num w:numId="63">
    <w:abstractNumId w:val="48"/>
  </w:num>
  <w:num w:numId="64">
    <w:abstractNumId w:val="76"/>
  </w:num>
  <w:num w:numId="65">
    <w:abstractNumId w:val="95"/>
  </w:num>
  <w:num w:numId="66">
    <w:abstractNumId w:val="59"/>
  </w:num>
  <w:num w:numId="67">
    <w:abstractNumId w:val="66"/>
  </w:num>
  <w:num w:numId="68">
    <w:abstractNumId w:val="103"/>
  </w:num>
  <w:num w:numId="69">
    <w:abstractNumId w:val="67"/>
  </w:num>
  <w:num w:numId="70">
    <w:abstractNumId w:val="12"/>
  </w:num>
  <w:num w:numId="71">
    <w:abstractNumId w:val="110"/>
  </w:num>
  <w:num w:numId="72">
    <w:abstractNumId w:val="55"/>
  </w:num>
  <w:num w:numId="73">
    <w:abstractNumId w:val="75"/>
  </w:num>
  <w:num w:numId="74">
    <w:abstractNumId w:val="39"/>
  </w:num>
  <w:num w:numId="75">
    <w:abstractNumId w:val="82"/>
  </w:num>
  <w:num w:numId="76">
    <w:abstractNumId w:val="73"/>
  </w:num>
  <w:num w:numId="77">
    <w:abstractNumId w:val="90"/>
  </w:num>
  <w:num w:numId="78">
    <w:abstractNumId w:val="31"/>
  </w:num>
  <w:num w:numId="79">
    <w:abstractNumId w:val="120"/>
  </w:num>
  <w:num w:numId="80">
    <w:abstractNumId w:val="118"/>
  </w:num>
  <w:num w:numId="81">
    <w:abstractNumId w:val="21"/>
  </w:num>
  <w:num w:numId="82">
    <w:abstractNumId w:val="102"/>
  </w:num>
  <w:num w:numId="83">
    <w:abstractNumId w:val="53"/>
  </w:num>
  <w:num w:numId="84">
    <w:abstractNumId w:val="22"/>
  </w:num>
  <w:num w:numId="85">
    <w:abstractNumId w:val="5"/>
  </w:num>
  <w:num w:numId="86">
    <w:abstractNumId w:val="11"/>
  </w:num>
  <w:num w:numId="87">
    <w:abstractNumId w:val="98"/>
  </w:num>
  <w:num w:numId="88">
    <w:abstractNumId w:val="88"/>
  </w:num>
  <w:num w:numId="89">
    <w:abstractNumId w:val="54"/>
  </w:num>
  <w:num w:numId="90">
    <w:abstractNumId w:val="71"/>
  </w:num>
  <w:num w:numId="91">
    <w:abstractNumId w:val="2"/>
  </w:num>
  <w:num w:numId="92">
    <w:abstractNumId w:val="50"/>
  </w:num>
  <w:num w:numId="93">
    <w:abstractNumId w:val="108"/>
  </w:num>
  <w:num w:numId="94">
    <w:abstractNumId w:val="23"/>
  </w:num>
  <w:num w:numId="95">
    <w:abstractNumId w:val="40"/>
  </w:num>
  <w:num w:numId="96">
    <w:abstractNumId w:val="37"/>
  </w:num>
  <w:num w:numId="97">
    <w:abstractNumId w:val="72"/>
  </w:num>
  <w:num w:numId="98">
    <w:abstractNumId w:val="41"/>
  </w:num>
  <w:num w:numId="99">
    <w:abstractNumId w:val="119"/>
  </w:num>
  <w:num w:numId="100">
    <w:abstractNumId w:val="121"/>
  </w:num>
  <w:num w:numId="101">
    <w:abstractNumId w:val="47"/>
  </w:num>
  <w:num w:numId="102">
    <w:abstractNumId w:val="56"/>
  </w:num>
  <w:num w:numId="103">
    <w:abstractNumId w:val="43"/>
  </w:num>
  <w:num w:numId="104">
    <w:abstractNumId w:val="45"/>
  </w:num>
  <w:num w:numId="105">
    <w:abstractNumId w:val="3"/>
  </w:num>
  <w:num w:numId="106">
    <w:abstractNumId w:val="111"/>
  </w:num>
  <w:num w:numId="107">
    <w:abstractNumId w:val="51"/>
  </w:num>
  <w:num w:numId="108">
    <w:abstractNumId w:val="99"/>
  </w:num>
  <w:num w:numId="109">
    <w:abstractNumId w:val="9"/>
  </w:num>
  <w:num w:numId="1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7"/>
  </w:num>
  <w:num w:numId="112">
    <w:abstractNumId w:val="109"/>
  </w:num>
  <w:num w:numId="1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86"/>
  </w:num>
  <w:num w:numId="115">
    <w:abstractNumId w:val="114"/>
  </w:num>
  <w:num w:numId="116">
    <w:abstractNumId w:val="57"/>
  </w:num>
  <w:num w:numId="117">
    <w:abstractNumId w:val="25"/>
  </w:num>
  <w:num w:numId="118">
    <w:abstractNumId w:val="27"/>
  </w:num>
  <w:num w:numId="119">
    <w:abstractNumId w:val="27"/>
  </w:num>
  <w:num w:numId="120">
    <w:abstractNumId w:val="52"/>
  </w:num>
  <w:num w:numId="121">
    <w:abstractNumId w:val="94"/>
  </w:num>
  <w:num w:numId="122">
    <w:abstractNumId w:val="62"/>
  </w:num>
  <w:num w:numId="123">
    <w:abstractNumId w:val="81"/>
  </w:num>
  <w:num w:numId="124">
    <w:abstractNumId w:val="112"/>
  </w:num>
  <w:num w:numId="125">
    <w:abstractNumId w:val="13"/>
  </w:num>
  <w:num w:numId="126">
    <w:abstractNumId w:val="35"/>
  </w:num>
  <w:num w:numId="127">
    <w:abstractNumId w:val="115"/>
  </w:num>
  <w:num w:numId="128">
    <w:abstractNumId w:val="36"/>
  </w:num>
  <w:num w:numId="129">
    <w:abstractNumId w:val="89"/>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13BF"/>
    <w:rsid w:val="00001A1D"/>
    <w:rsid w:val="00021146"/>
    <w:rsid w:val="00021BB7"/>
    <w:rsid w:val="00026C12"/>
    <w:rsid w:val="00037981"/>
    <w:rsid w:val="0004064D"/>
    <w:rsid w:val="00041664"/>
    <w:rsid w:val="00041DEE"/>
    <w:rsid w:val="00042088"/>
    <w:rsid w:val="00043D2A"/>
    <w:rsid w:val="000454D6"/>
    <w:rsid w:val="00054FB4"/>
    <w:rsid w:val="00055D5E"/>
    <w:rsid w:val="00060749"/>
    <w:rsid w:val="000607BA"/>
    <w:rsid w:val="000620EA"/>
    <w:rsid w:val="000671B7"/>
    <w:rsid w:val="00070851"/>
    <w:rsid w:val="00073406"/>
    <w:rsid w:val="00075426"/>
    <w:rsid w:val="00082F98"/>
    <w:rsid w:val="000853E1"/>
    <w:rsid w:val="00095B83"/>
    <w:rsid w:val="00096501"/>
    <w:rsid w:val="000A4580"/>
    <w:rsid w:val="000A4DA4"/>
    <w:rsid w:val="000B38F2"/>
    <w:rsid w:val="000B3E51"/>
    <w:rsid w:val="000B58EE"/>
    <w:rsid w:val="000B6536"/>
    <w:rsid w:val="000C1986"/>
    <w:rsid w:val="000C2CDA"/>
    <w:rsid w:val="000C5F8C"/>
    <w:rsid w:val="000D05A9"/>
    <w:rsid w:val="000D4432"/>
    <w:rsid w:val="000D611C"/>
    <w:rsid w:val="000E0CD4"/>
    <w:rsid w:val="000E21CA"/>
    <w:rsid w:val="000E2B23"/>
    <w:rsid w:val="000F69FA"/>
    <w:rsid w:val="00101E35"/>
    <w:rsid w:val="0010361F"/>
    <w:rsid w:val="001045F9"/>
    <w:rsid w:val="00110B69"/>
    <w:rsid w:val="00112776"/>
    <w:rsid w:val="00116F77"/>
    <w:rsid w:val="00120911"/>
    <w:rsid w:val="001231B7"/>
    <w:rsid w:val="00125D49"/>
    <w:rsid w:val="0012674C"/>
    <w:rsid w:val="00133826"/>
    <w:rsid w:val="0013673E"/>
    <w:rsid w:val="00140738"/>
    <w:rsid w:val="001409D8"/>
    <w:rsid w:val="00147F6D"/>
    <w:rsid w:val="00150209"/>
    <w:rsid w:val="00160116"/>
    <w:rsid w:val="001662AC"/>
    <w:rsid w:val="0016796D"/>
    <w:rsid w:val="001715C4"/>
    <w:rsid w:val="00172680"/>
    <w:rsid w:val="001729D9"/>
    <w:rsid w:val="00180AAB"/>
    <w:rsid w:val="00194F58"/>
    <w:rsid w:val="001A3EED"/>
    <w:rsid w:val="001A589D"/>
    <w:rsid w:val="001B2722"/>
    <w:rsid w:val="001B30DA"/>
    <w:rsid w:val="001B6DD5"/>
    <w:rsid w:val="001B7A05"/>
    <w:rsid w:val="001C0BC0"/>
    <w:rsid w:val="001C35BA"/>
    <w:rsid w:val="001C539E"/>
    <w:rsid w:val="001D2C87"/>
    <w:rsid w:val="001D34EA"/>
    <w:rsid w:val="001D3A59"/>
    <w:rsid w:val="001D49C5"/>
    <w:rsid w:val="001D5402"/>
    <w:rsid w:val="001E2F4B"/>
    <w:rsid w:val="001F29A0"/>
    <w:rsid w:val="001F4BF0"/>
    <w:rsid w:val="001F629A"/>
    <w:rsid w:val="00201E72"/>
    <w:rsid w:val="002126DA"/>
    <w:rsid w:val="002201B4"/>
    <w:rsid w:val="00226BC2"/>
    <w:rsid w:val="00227356"/>
    <w:rsid w:val="00232404"/>
    <w:rsid w:val="00235A4E"/>
    <w:rsid w:val="002400A7"/>
    <w:rsid w:val="002417C2"/>
    <w:rsid w:val="0024337E"/>
    <w:rsid w:val="00244DF7"/>
    <w:rsid w:val="0024574A"/>
    <w:rsid w:val="002462AC"/>
    <w:rsid w:val="0025552F"/>
    <w:rsid w:val="00255BCB"/>
    <w:rsid w:val="002571F7"/>
    <w:rsid w:val="002679A3"/>
    <w:rsid w:val="00271D4E"/>
    <w:rsid w:val="00272F7B"/>
    <w:rsid w:val="00274F81"/>
    <w:rsid w:val="00275865"/>
    <w:rsid w:val="0028040E"/>
    <w:rsid w:val="00280EE0"/>
    <w:rsid w:val="00283240"/>
    <w:rsid w:val="0028336A"/>
    <w:rsid w:val="00284161"/>
    <w:rsid w:val="002919DB"/>
    <w:rsid w:val="0029293F"/>
    <w:rsid w:val="002A7D0B"/>
    <w:rsid w:val="002B2045"/>
    <w:rsid w:val="002B413B"/>
    <w:rsid w:val="002B4B2A"/>
    <w:rsid w:val="002C10C1"/>
    <w:rsid w:val="002D2D85"/>
    <w:rsid w:val="002D36E7"/>
    <w:rsid w:val="002D3EE4"/>
    <w:rsid w:val="002E4657"/>
    <w:rsid w:val="002E60D1"/>
    <w:rsid w:val="002F31B7"/>
    <w:rsid w:val="002F3684"/>
    <w:rsid w:val="002F76C7"/>
    <w:rsid w:val="002F7A79"/>
    <w:rsid w:val="003013E3"/>
    <w:rsid w:val="00301F21"/>
    <w:rsid w:val="003031BA"/>
    <w:rsid w:val="003147FD"/>
    <w:rsid w:val="003170AE"/>
    <w:rsid w:val="00323A5A"/>
    <w:rsid w:val="00334F88"/>
    <w:rsid w:val="003439DF"/>
    <w:rsid w:val="0034587F"/>
    <w:rsid w:val="003461A7"/>
    <w:rsid w:val="003517A2"/>
    <w:rsid w:val="00363876"/>
    <w:rsid w:val="003661B5"/>
    <w:rsid w:val="0037119D"/>
    <w:rsid w:val="00376A9E"/>
    <w:rsid w:val="003809E8"/>
    <w:rsid w:val="00387A9D"/>
    <w:rsid w:val="003913BF"/>
    <w:rsid w:val="00394FF0"/>
    <w:rsid w:val="00395482"/>
    <w:rsid w:val="00395FF1"/>
    <w:rsid w:val="003A1935"/>
    <w:rsid w:val="003A1B05"/>
    <w:rsid w:val="003A2C9E"/>
    <w:rsid w:val="003A7E2D"/>
    <w:rsid w:val="003B0DF1"/>
    <w:rsid w:val="003B2649"/>
    <w:rsid w:val="003B4A5B"/>
    <w:rsid w:val="003C0F03"/>
    <w:rsid w:val="003C0F2A"/>
    <w:rsid w:val="003C3B68"/>
    <w:rsid w:val="003D3804"/>
    <w:rsid w:val="003D574B"/>
    <w:rsid w:val="003D580C"/>
    <w:rsid w:val="003D6E96"/>
    <w:rsid w:val="003E1A8F"/>
    <w:rsid w:val="003F02D0"/>
    <w:rsid w:val="003F0FE0"/>
    <w:rsid w:val="003F354F"/>
    <w:rsid w:val="0040006C"/>
    <w:rsid w:val="00407963"/>
    <w:rsid w:val="00411EB8"/>
    <w:rsid w:val="004143CF"/>
    <w:rsid w:val="004157C0"/>
    <w:rsid w:val="00417CCD"/>
    <w:rsid w:val="00424A95"/>
    <w:rsid w:val="004266A5"/>
    <w:rsid w:val="0043058C"/>
    <w:rsid w:val="00430ED9"/>
    <w:rsid w:val="00432402"/>
    <w:rsid w:val="004335B7"/>
    <w:rsid w:val="004346CE"/>
    <w:rsid w:val="00434C9D"/>
    <w:rsid w:val="004411BF"/>
    <w:rsid w:val="00442B84"/>
    <w:rsid w:val="00447756"/>
    <w:rsid w:val="00452BD4"/>
    <w:rsid w:val="00454A6A"/>
    <w:rsid w:val="004625A1"/>
    <w:rsid w:val="00471F76"/>
    <w:rsid w:val="004777B0"/>
    <w:rsid w:val="004801BA"/>
    <w:rsid w:val="00485A96"/>
    <w:rsid w:val="004A1941"/>
    <w:rsid w:val="004A2E8E"/>
    <w:rsid w:val="004A704E"/>
    <w:rsid w:val="004A7587"/>
    <w:rsid w:val="004A7C9F"/>
    <w:rsid w:val="004B5E59"/>
    <w:rsid w:val="004C129B"/>
    <w:rsid w:val="004C2C41"/>
    <w:rsid w:val="004C4146"/>
    <w:rsid w:val="004C631B"/>
    <w:rsid w:val="004D3C2A"/>
    <w:rsid w:val="004D4229"/>
    <w:rsid w:val="004D656D"/>
    <w:rsid w:val="004E0C69"/>
    <w:rsid w:val="004E25CE"/>
    <w:rsid w:val="004E3B4A"/>
    <w:rsid w:val="004E4A18"/>
    <w:rsid w:val="004E5EFC"/>
    <w:rsid w:val="004E6F22"/>
    <w:rsid w:val="004E70FC"/>
    <w:rsid w:val="004F1CDD"/>
    <w:rsid w:val="004F2B65"/>
    <w:rsid w:val="00504C3C"/>
    <w:rsid w:val="005074FC"/>
    <w:rsid w:val="0051391C"/>
    <w:rsid w:val="00516A7A"/>
    <w:rsid w:val="00521C16"/>
    <w:rsid w:val="00522B5F"/>
    <w:rsid w:val="00530757"/>
    <w:rsid w:val="005310C8"/>
    <w:rsid w:val="00535680"/>
    <w:rsid w:val="00544B7E"/>
    <w:rsid w:val="00550634"/>
    <w:rsid w:val="0055199F"/>
    <w:rsid w:val="0055655E"/>
    <w:rsid w:val="00562011"/>
    <w:rsid w:val="00563E19"/>
    <w:rsid w:val="005761D2"/>
    <w:rsid w:val="00576D28"/>
    <w:rsid w:val="00585731"/>
    <w:rsid w:val="00587026"/>
    <w:rsid w:val="005900E6"/>
    <w:rsid w:val="0059158A"/>
    <w:rsid w:val="005954DB"/>
    <w:rsid w:val="00597E95"/>
    <w:rsid w:val="005A2711"/>
    <w:rsid w:val="005A645F"/>
    <w:rsid w:val="005B2A37"/>
    <w:rsid w:val="005B34FD"/>
    <w:rsid w:val="005B36A4"/>
    <w:rsid w:val="005B67BF"/>
    <w:rsid w:val="005C1246"/>
    <w:rsid w:val="005C39C6"/>
    <w:rsid w:val="005C63B3"/>
    <w:rsid w:val="005D1907"/>
    <w:rsid w:val="005D4B21"/>
    <w:rsid w:val="005D5C50"/>
    <w:rsid w:val="005D6BB7"/>
    <w:rsid w:val="005E077E"/>
    <w:rsid w:val="005E5895"/>
    <w:rsid w:val="005E62CA"/>
    <w:rsid w:val="005F2B76"/>
    <w:rsid w:val="00600896"/>
    <w:rsid w:val="00601266"/>
    <w:rsid w:val="0060355A"/>
    <w:rsid w:val="00611E6B"/>
    <w:rsid w:val="00617BF8"/>
    <w:rsid w:val="00627F11"/>
    <w:rsid w:val="00630CF6"/>
    <w:rsid w:val="00641958"/>
    <w:rsid w:val="00642B32"/>
    <w:rsid w:val="00645B2D"/>
    <w:rsid w:val="00653E86"/>
    <w:rsid w:val="006548BA"/>
    <w:rsid w:val="00662A1F"/>
    <w:rsid w:val="00664232"/>
    <w:rsid w:val="00671A24"/>
    <w:rsid w:val="00673135"/>
    <w:rsid w:val="00674ECD"/>
    <w:rsid w:val="00675506"/>
    <w:rsid w:val="00675D8E"/>
    <w:rsid w:val="006771EE"/>
    <w:rsid w:val="0068362E"/>
    <w:rsid w:val="00684E9A"/>
    <w:rsid w:val="0068589E"/>
    <w:rsid w:val="00685AA7"/>
    <w:rsid w:val="00687367"/>
    <w:rsid w:val="006B202E"/>
    <w:rsid w:val="006B5D45"/>
    <w:rsid w:val="006D2A5E"/>
    <w:rsid w:val="006D34E3"/>
    <w:rsid w:val="006E4B87"/>
    <w:rsid w:val="006E4BBF"/>
    <w:rsid w:val="006E5AB9"/>
    <w:rsid w:val="006F0308"/>
    <w:rsid w:val="006F04A3"/>
    <w:rsid w:val="006F2025"/>
    <w:rsid w:val="006F3AE6"/>
    <w:rsid w:val="006F7884"/>
    <w:rsid w:val="00704FAB"/>
    <w:rsid w:val="00731631"/>
    <w:rsid w:val="00733310"/>
    <w:rsid w:val="00740D79"/>
    <w:rsid w:val="00745D29"/>
    <w:rsid w:val="00746B93"/>
    <w:rsid w:val="00753210"/>
    <w:rsid w:val="00753FE5"/>
    <w:rsid w:val="00757889"/>
    <w:rsid w:val="00762A19"/>
    <w:rsid w:val="007666EF"/>
    <w:rsid w:val="00766C81"/>
    <w:rsid w:val="00772A7C"/>
    <w:rsid w:val="00773913"/>
    <w:rsid w:val="00774475"/>
    <w:rsid w:val="00787A07"/>
    <w:rsid w:val="00787C42"/>
    <w:rsid w:val="007920A9"/>
    <w:rsid w:val="00792ADB"/>
    <w:rsid w:val="007940BC"/>
    <w:rsid w:val="007A0A33"/>
    <w:rsid w:val="007A3C9A"/>
    <w:rsid w:val="007A6430"/>
    <w:rsid w:val="007B0E2D"/>
    <w:rsid w:val="007B1B2D"/>
    <w:rsid w:val="007B2495"/>
    <w:rsid w:val="007B65DE"/>
    <w:rsid w:val="007B71B9"/>
    <w:rsid w:val="007B750D"/>
    <w:rsid w:val="007C47CE"/>
    <w:rsid w:val="007D0056"/>
    <w:rsid w:val="007D061C"/>
    <w:rsid w:val="007D35D3"/>
    <w:rsid w:val="007E7AA5"/>
    <w:rsid w:val="007F0E47"/>
    <w:rsid w:val="007F4A32"/>
    <w:rsid w:val="007F52B1"/>
    <w:rsid w:val="007F7913"/>
    <w:rsid w:val="00803EB6"/>
    <w:rsid w:val="00821F10"/>
    <w:rsid w:val="008241B2"/>
    <w:rsid w:val="0082533D"/>
    <w:rsid w:val="0082538B"/>
    <w:rsid w:val="00834F9E"/>
    <w:rsid w:val="00836401"/>
    <w:rsid w:val="008371BD"/>
    <w:rsid w:val="0084290C"/>
    <w:rsid w:val="00843D61"/>
    <w:rsid w:val="00844052"/>
    <w:rsid w:val="00844FA3"/>
    <w:rsid w:val="00845BDD"/>
    <w:rsid w:val="00862299"/>
    <w:rsid w:val="00866CF5"/>
    <w:rsid w:val="00867B70"/>
    <w:rsid w:val="008752C2"/>
    <w:rsid w:val="00877F5C"/>
    <w:rsid w:val="00886F47"/>
    <w:rsid w:val="008928D5"/>
    <w:rsid w:val="0089426E"/>
    <w:rsid w:val="00895E17"/>
    <w:rsid w:val="008A2E32"/>
    <w:rsid w:val="008A70AD"/>
    <w:rsid w:val="008A7C5F"/>
    <w:rsid w:val="008B06B9"/>
    <w:rsid w:val="008B3687"/>
    <w:rsid w:val="008C1EBC"/>
    <w:rsid w:val="008D165C"/>
    <w:rsid w:val="008D1BA9"/>
    <w:rsid w:val="008D36D9"/>
    <w:rsid w:val="008D489C"/>
    <w:rsid w:val="008E536B"/>
    <w:rsid w:val="008E53C9"/>
    <w:rsid w:val="008E654B"/>
    <w:rsid w:val="008F3747"/>
    <w:rsid w:val="008F5E34"/>
    <w:rsid w:val="008F627C"/>
    <w:rsid w:val="00905E5F"/>
    <w:rsid w:val="009169BE"/>
    <w:rsid w:val="00920C2E"/>
    <w:rsid w:val="00921179"/>
    <w:rsid w:val="00926176"/>
    <w:rsid w:val="0093289F"/>
    <w:rsid w:val="00933617"/>
    <w:rsid w:val="009352D9"/>
    <w:rsid w:val="00942DC9"/>
    <w:rsid w:val="00944676"/>
    <w:rsid w:val="00944B8C"/>
    <w:rsid w:val="0094500A"/>
    <w:rsid w:val="009467A6"/>
    <w:rsid w:val="009514A2"/>
    <w:rsid w:val="00956AB1"/>
    <w:rsid w:val="00963D09"/>
    <w:rsid w:val="00965BC6"/>
    <w:rsid w:val="00974263"/>
    <w:rsid w:val="0098167C"/>
    <w:rsid w:val="0098256C"/>
    <w:rsid w:val="00990EC4"/>
    <w:rsid w:val="00992AE2"/>
    <w:rsid w:val="00996A11"/>
    <w:rsid w:val="009A0074"/>
    <w:rsid w:val="009A3406"/>
    <w:rsid w:val="009A5D7C"/>
    <w:rsid w:val="009B1759"/>
    <w:rsid w:val="009B29D5"/>
    <w:rsid w:val="009B65CC"/>
    <w:rsid w:val="009C18EE"/>
    <w:rsid w:val="009C4355"/>
    <w:rsid w:val="009C4F3E"/>
    <w:rsid w:val="009C5ECB"/>
    <w:rsid w:val="009C694D"/>
    <w:rsid w:val="009E3EC3"/>
    <w:rsid w:val="009E42EF"/>
    <w:rsid w:val="009E4746"/>
    <w:rsid w:val="009E722C"/>
    <w:rsid w:val="009F0910"/>
    <w:rsid w:val="009F1EF6"/>
    <w:rsid w:val="00A03CED"/>
    <w:rsid w:val="00A0528D"/>
    <w:rsid w:val="00A066EA"/>
    <w:rsid w:val="00A113C0"/>
    <w:rsid w:val="00A120F6"/>
    <w:rsid w:val="00A223EE"/>
    <w:rsid w:val="00A22EAA"/>
    <w:rsid w:val="00A25098"/>
    <w:rsid w:val="00A25EDD"/>
    <w:rsid w:val="00A32E74"/>
    <w:rsid w:val="00A36C72"/>
    <w:rsid w:val="00A40A7D"/>
    <w:rsid w:val="00A43344"/>
    <w:rsid w:val="00A45C1E"/>
    <w:rsid w:val="00A479CD"/>
    <w:rsid w:val="00A50B4B"/>
    <w:rsid w:val="00A50DE6"/>
    <w:rsid w:val="00A50FAC"/>
    <w:rsid w:val="00A52A88"/>
    <w:rsid w:val="00A74A10"/>
    <w:rsid w:val="00A74D3B"/>
    <w:rsid w:val="00A75C46"/>
    <w:rsid w:val="00A819F7"/>
    <w:rsid w:val="00A94085"/>
    <w:rsid w:val="00A95410"/>
    <w:rsid w:val="00AA19FE"/>
    <w:rsid w:val="00AA5F94"/>
    <w:rsid w:val="00AA5FD4"/>
    <w:rsid w:val="00AA60B2"/>
    <w:rsid w:val="00AA74BF"/>
    <w:rsid w:val="00AB0F66"/>
    <w:rsid w:val="00AB2865"/>
    <w:rsid w:val="00AB63F1"/>
    <w:rsid w:val="00AC16C7"/>
    <w:rsid w:val="00AC3700"/>
    <w:rsid w:val="00AC3C42"/>
    <w:rsid w:val="00AC61BF"/>
    <w:rsid w:val="00AD186D"/>
    <w:rsid w:val="00AD60D0"/>
    <w:rsid w:val="00AD6512"/>
    <w:rsid w:val="00AE2DBC"/>
    <w:rsid w:val="00AE2FBD"/>
    <w:rsid w:val="00AE3F4F"/>
    <w:rsid w:val="00B0787B"/>
    <w:rsid w:val="00B123FB"/>
    <w:rsid w:val="00B15070"/>
    <w:rsid w:val="00B3183A"/>
    <w:rsid w:val="00B45577"/>
    <w:rsid w:val="00B45D25"/>
    <w:rsid w:val="00B61E83"/>
    <w:rsid w:val="00B679B6"/>
    <w:rsid w:val="00B7216F"/>
    <w:rsid w:val="00B739C3"/>
    <w:rsid w:val="00B75F20"/>
    <w:rsid w:val="00B7633E"/>
    <w:rsid w:val="00B80861"/>
    <w:rsid w:val="00B94345"/>
    <w:rsid w:val="00B949D8"/>
    <w:rsid w:val="00B95425"/>
    <w:rsid w:val="00B95919"/>
    <w:rsid w:val="00B967AE"/>
    <w:rsid w:val="00BA1DF6"/>
    <w:rsid w:val="00BA457E"/>
    <w:rsid w:val="00BA69A6"/>
    <w:rsid w:val="00BA7450"/>
    <w:rsid w:val="00BB21F4"/>
    <w:rsid w:val="00BB2507"/>
    <w:rsid w:val="00BB2F78"/>
    <w:rsid w:val="00BB751F"/>
    <w:rsid w:val="00BC1FA2"/>
    <w:rsid w:val="00BC2450"/>
    <w:rsid w:val="00BD373B"/>
    <w:rsid w:val="00BE127A"/>
    <w:rsid w:val="00BE1D2B"/>
    <w:rsid w:val="00BF0687"/>
    <w:rsid w:val="00BF175E"/>
    <w:rsid w:val="00C01B80"/>
    <w:rsid w:val="00C0262F"/>
    <w:rsid w:val="00C04E42"/>
    <w:rsid w:val="00C0705D"/>
    <w:rsid w:val="00C11E81"/>
    <w:rsid w:val="00C12B67"/>
    <w:rsid w:val="00C13E4F"/>
    <w:rsid w:val="00C14E4D"/>
    <w:rsid w:val="00C1566B"/>
    <w:rsid w:val="00C2085B"/>
    <w:rsid w:val="00C209A0"/>
    <w:rsid w:val="00C224CF"/>
    <w:rsid w:val="00C22EC4"/>
    <w:rsid w:val="00C25131"/>
    <w:rsid w:val="00C261A9"/>
    <w:rsid w:val="00C26B41"/>
    <w:rsid w:val="00C26C2C"/>
    <w:rsid w:val="00C33725"/>
    <w:rsid w:val="00C354B3"/>
    <w:rsid w:val="00C40CD9"/>
    <w:rsid w:val="00C66790"/>
    <w:rsid w:val="00C878A3"/>
    <w:rsid w:val="00C92AB7"/>
    <w:rsid w:val="00C94BA0"/>
    <w:rsid w:val="00C96685"/>
    <w:rsid w:val="00C97EC8"/>
    <w:rsid w:val="00CA0BA9"/>
    <w:rsid w:val="00CA4AFE"/>
    <w:rsid w:val="00CA7270"/>
    <w:rsid w:val="00CA7C33"/>
    <w:rsid w:val="00CB1FE0"/>
    <w:rsid w:val="00CC0611"/>
    <w:rsid w:val="00CC10E3"/>
    <w:rsid w:val="00CC6150"/>
    <w:rsid w:val="00CD086F"/>
    <w:rsid w:val="00CD1458"/>
    <w:rsid w:val="00CD1937"/>
    <w:rsid w:val="00CD2774"/>
    <w:rsid w:val="00CD2EB5"/>
    <w:rsid w:val="00CD3039"/>
    <w:rsid w:val="00CD6401"/>
    <w:rsid w:val="00CE0255"/>
    <w:rsid w:val="00CF32E9"/>
    <w:rsid w:val="00D14C07"/>
    <w:rsid w:val="00D30263"/>
    <w:rsid w:val="00D30562"/>
    <w:rsid w:val="00D337F3"/>
    <w:rsid w:val="00D343DA"/>
    <w:rsid w:val="00D372A4"/>
    <w:rsid w:val="00D40582"/>
    <w:rsid w:val="00D420BC"/>
    <w:rsid w:val="00D47317"/>
    <w:rsid w:val="00D510C6"/>
    <w:rsid w:val="00D5146A"/>
    <w:rsid w:val="00D51AA7"/>
    <w:rsid w:val="00D5294C"/>
    <w:rsid w:val="00D52F30"/>
    <w:rsid w:val="00D530FB"/>
    <w:rsid w:val="00D543C8"/>
    <w:rsid w:val="00D5699E"/>
    <w:rsid w:val="00D6024C"/>
    <w:rsid w:val="00D6153B"/>
    <w:rsid w:val="00D65E53"/>
    <w:rsid w:val="00D7479E"/>
    <w:rsid w:val="00D804C7"/>
    <w:rsid w:val="00D805F8"/>
    <w:rsid w:val="00D87F1A"/>
    <w:rsid w:val="00D95A61"/>
    <w:rsid w:val="00D96184"/>
    <w:rsid w:val="00D970A5"/>
    <w:rsid w:val="00DA3BA5"/>
    <w:rsid w:val="00DA6790"/>
    <w:rsid w:val="00DA738A"/>
    <w:rsid w:val="00DA7F91"/>
    <w:rsid w:val="00DB0F7D"/>
    <w:rsid w:val="00DB46D6"/>
    <w:rsid w:val="00DC3263"/>
    <w:rsid w:val="00DC57F6"/>
    <w:rsid w:val="00DC70D7"/>
    <w:rsid w:val="00DD0A3F"/>
    <w:rsid w:val="00DD7DE9"/>
    <w:rsid w:val="00DE11B9"/>
    <w:rsid w:val="00DE21C0"/>
    <w:rsid w:val="00DE4D28"/>
    <w:rsid w:val="00DE6E52"/>
    <w:rsid w:val="00DE74CB"/>
    <w:rsid w:val="00DE7DEC"/>
    <w:rsid w:val="00DF0FEE"/>
    <w:rsid w:val="00DF1215"/>
    <w:rsid w:val="00DF1BF4"/>
    <w:rsid w:val="00DF65CF"/>
    <w:rsid w:val="00DF7BDB"/>
    <w:rsid w:val="00E02AB8"/>
    <w:rsid w:val="00E130EB"/>
    <w:rsid w:val="00E1492C"/>
    <w:rsid w:val="00E150B0"/>
    <w:rsid w:val="00E178F7"/>
    <w:rsid w:val="00E31BFF"/>
    <w:rsid w:val="00E325A4"/>
    <w:rsid w:val="00E370A5"/>
    <w:rsid w:val="00E404EB"/>
    <w:rsid w:val="00E41B13"/>
    <w:rsid w:val="00E42306"/>
    <w:rsid w:val="00E4407E"/>
    <w:rsid w:val="00E47607"/>
    <w:rsid w:val="00E51197"/>
    <w:rsid w:val="00E51F70"/>
    <w:rsid w:val="00E655AB"/>
    <w:rsid w:val="00E67F47"/>
    <w:rsid w:val="00E7117A"/>
    <w:rsid w:val="00E77574"/>
    <w:rsid w:val="00E80992"/>
    <w:rsid w:val="00E81B63"/>
    <w:rsid w:val="00E81D4D"/>
    <w:rsid w:val="00E81F30"/>
    <w:rsid w:val="00E82F87"/>
    <w:rsid w:val="00E833F7"/>
    <w:rsid w:val="00E83FF3"/>
    <w:rsid w:val="00E8606D"/>
    <w:rsid w:val="00E87373"/>
    <w:rsid w:val="00E908B8"/>
    <w:rsid w:val="00EA312D"/>
    <w:rsid w:val="00EB4C2C"/>
    <w:rsid w:val="00EB4C2D"/>
    <w:rsid w:val="00EC0E4F"/>
    <w:rsid w:val="00EC1309"/>
    <w:rsid w:val="00EC220A"/>
    <w:rsid w:val="00EC56C9"/>
    <w:rsid w:val="00ED0681"/>
    <w:rsid w:val="00ED778C"/>
    <w:rsid w:val="00EE58D5"/>
    <w:rsid w:val="00EF301A"/>
    <w:rsid w:val="00F003D9"/>
    <w:rsid w:val="00F023C7"/>
    <w:rsid w:val="00F03EC0"/>
    <w:rsid w:val="00F056E2"/>
    <w:rsid w:val="00F1019D"/>
    <w:rsid w:val="00F10A84"/>
    <w:rsid w:val="00F11E50"/>
    <w:rsid w:val="00F1700D"/>
    <w:rsid w:val="00F20016"/>
    <w:rsid w:val="00F20A16"/>
    <w:rsid w:val="00F25F43"/>
    <w:rsid w:val="00F3414F"/>
    <w:rsid w:val="00F36A43"/>
    <w:rsid w:val="00F4464B"/>
    <w:rsid w:val="00F4468A"/>
    <w:rsid w:val="00F516EB"/>
    <w:rsid w:val="00F57EBC"/>
    <w:rsid w:val="00F640B1"/>
    <w:rsid w:val="00F64DB4"/>
    <w:rsid w:val="00F64F79"/>
    <w:rsid w:val="00F66B79"/>
    <w:rsid w:val="00F72866"/>
    <w:rsid w:val="00F72F26"/>
    <w:rsid w:val="00F77895"/>
    <w:rsid w:val="00F77D57"/>
    <w:rsid w:val="00F80BE2"/>
    <w:rsid w:val="00F80D72"/>
    <w:rsid w:val="00F81D7C"/>
    <w:rsid w:val="00F83134"/>
    <w:rsid w:val="00F842F2"/>
    <w:rsid w:val="00F86EBE"/>
    <w:rsid w:val="00F9601F"/>
    <w:rsid w:val="00F96C70"/>
    <w:rsid w:val="00F96D17"/>
    <w:rsid w:val="00FA0D54"/>
    <w:rsid w:val="00FA1BB6"/>
    <w:rsid w:val="00FA1E5C"/>
    <w:rsid w:val="00FA2075"/>
    <w:rsid w:val="00FA4916"/>
    <w:rsid w:val="00FA5446"/>
    <w:rsid w:val="00FA5C52"/>
    <w:rsid w:val="00FB0719"/>
    <w:rsid w:val="00FC2A37"/>
    <w:rsid w:val="00FC2B70"/>
    <w:rsid w:val="00FC5521"/>
    <w:rsid w:val="00FC6A37"/>
    <w:rsid w:val="00FD2519"/>
    <w:rsid w:val="00FD2B30"/>
    <w:rsid w:val="00FD433C"/>
    <w:rsid w:val="00FD54E6"/>
    <w:rsid w:val="00FD7F6D"/>
    <w:rsid w:val="00FE0743"/>
    <w:rsid w:val="00FE2C72"/>
    <w:rsid w:val="00FE2EA1"/>
    <w:rsid w:val="00FE4D2C"/>
    <w:rsid w:val="00FE6E5D"/>
    <w:rsid w:val="00FF0ED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2531BEDD"/>
  <w15:docId w15:val="{54529067-4DE0-4970-AFC6-C3B4961DE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407963"/>
    <w:pPr>
      <w:keepNext/>
      <w:keepLines/>
      <w:shd w:val="solid" w:color="0070C0" w:fill="auto"/>
      <w:spacing w:before="480" w:after="240"/>
      <w:jc w:val="center"/>
      <w:outlineLvl w:val="0"/>
    </w:pPr>
    <w:rPr>
      <w:rFonts w:asciiTheme="majorHAnsi" w:eastAsiaTheme="majorEastAsia" w:hAnsiTheme="majorHAnsi" w:cstheme="majorBidi"/>
      <w:b/>
      <w:bCs/>
      <w:caps/>
      <w:color w:val="FFFFFF" w:themeColor="background1"/>
      <w:sz w:val="28"/>
      <w:szCs w:val="28"/>
    </w:rPr>
  </w:style>
  <w:style w:type="paragraph" w:styleId="Titre2">
    <w:name w:val="heading 2"/>
    <w:basedOn w:val="Normal"/>
    <w:next w:val="Normal"/>
    <w:link w:val="Titre2Car"/>
    <w:uiPriority w:val="9"/>
    <w:unhideWhenUsed/>
    <w:qFormat/>
    <w:rsid w:val="00FC2A3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9B1759"/>
    <w:pPr>
      <w:pBdr>
        <w:top w:val="single" w:sz="6" w:space="2" w:color="4F81BD" w:themeColor="accent1"/>
        <w:left w:val="single" w:sz="6" w:space="2" w:color="4F81BD" w:themeColor="accent1"/>
      </w:pBdr>
      <w:spacing w:before="300" w:after="0"/>
      <w:outlineLvl w:val="2"/>
    </w:pPr>
    <w:rPr>
      <w:rFonts w:eastAsiaTheme="minorEastAsia"/>
      <w:caps/>
      <w:color w:val="243F60" w:themeColor="accent1" w:themeShade="7F"/>
      <w:spacing w:val="15"/>
      <w:lang w:val="en-GB"/>
    </w:rPr>
  </w:style>
  <w:style w:type="paragraph" w:styleId="Titre4">
    <w:name w:val="heading 4"/>
    <w:basedOn w:val="Normal"/>
    <w:next w:val="Normal"/>
    <w:link w:val="Titre4Car"/>
    <w:uiPriority w:val="9"/>
    <w:semiHidden/>
    <w:unhideWhenUsed/>
    <w:qFormat/>
    <w:rsid w:val="009B1759"/>
    <w:pPr>
      <w:pBdr>
        <w:top w:val="dotted" w:sz="6" w:space="2" w:color="4F81BD" w:themeColor="accent1"/>
        <w:left w:val="dotted" w:sz="6" w:space="2" w:color="4F81BD" w:themeColor="accent1"/>
      </w:pBdr>
      <w:spacing w:before="300" w:after="0"/>
      <w:outlineLvl w:val="3"/>
    </w:pPr>
    <w:rPr>
      <w:rFonts w:eastAsiaTheme="minorEastAsia"/>
      <w:caps/>
      <w:color w:val="365F91" w:themeColor="accent1" w:themeShade="BF"/>
      <w:spacing w:val="10"/>
      <w:lang w:val="en-GB"/>
    </w:rPr>
  </w:style>
  <w:style w:type="paragraph" w:styleId="Titre5">
    <w:name w:val="heading 5"/>
    <w:basedOn w:val="Normal"/>
    <w:next w:val="Normal"/>
    <w:link w:val="Titre5Car"/>
    <w:uiPriority w:val="9"/>
    <w:semiHidden/>
    <w:unhideWhenUsed/>
    <w:qFormat/>
    <w:rsid w:val="009B1759"/>
    <w:pPr>
      <w:pBdr>
        <w:bottom w:val="single" w:sz="6" w:space="1" w:color="4F81BD" w:themeColor="accent1"/>
      </w:pBdr>
      <w:spacing w:before="300" w:after="0"/>
      <w:outlineLvl w:val="4"/>
    </w:pPr>
    <w:rPr>
      <w:rFonts w:eastAsiaTheme="minorEastAsia"/>
      <w:caps/>
      <w:color w:val="365F91" w:themeColor="accent1" w:themeShade="BF"/>
      <w:spacing w:val="10"/>
      <w:lang w:val="en-GB"/>
    </w:rPr>
  </w:style>
  <w:style w:type="paragraph" w:styleId="Titre6">
    <w:name w:val="heading 6"/>
    <w:basedOn w:val="Normal"/>
    <w:next w:val="Normal"/>
    <w:link w:val="Titre6Car"/>
    <w:uiPriority w:val="9"/>
    <w:semiHidden/>
    <w:unhideWhenUsed/>
    <w:qFormat/>
    <w:rsid w:val="009B1759"/>
    <w:pPr>
      <w:pBdr>
        <w:bottom w:val="dotted" w:sz="6" w:space="1" w:color="4F81BD" w:themeColor="accent1"/>
      </w:pBdr>
      <w:spacing w:before="300" w:after="0"/>
      <w:outlineLvl w:val="5"/>
    </w:pPr>
    <w:rPr>
      <w:rFonts w:eastAsiaTheme="minorEastAsia"/>
      <w:caps/>
      <w:color w:val="365F91" w:themeColor="accent1" w:themeShade="BF"/>
      <w:spacing w:val="10"/>
      <w:lang w:val="en-GB"/>
    </w:rPr>
  </w:style>
  <w:style w:type="paragraph" w:styleId="Titre7">
    <w:name w:val="heading 7"/>
    <w:basedOn w:val="Normal"/>
    <w:next w:val="Normal"/>
    <w:link w:val="Titre7Car"/>
    <w:uiPriority w:val="9"/>
    <w:semiHidden/>
    <w:unhideWhenUsed/>
    <w:qFormat/>
    <w:rsid w:val="009B1759"/>
    <w:pPr>
      <w:spacing w:before="300" w:after="0"/>
      <w:outlineLvl w:val="6"/>
    </w:pPr>
    <w:rPr>
      <w:rFonts w:eastAsiaTheme="minorEastAsia"/>
      <w:caps/>
      <w:color w:val="365F91" w:themeColor="accent1" w:themeShade="BF"/>
      <w:spacing w:val="10"/>
      <w:lang w:val="en-GB"/>
    </w:rPr>
  </w:style>
  <w:style w:type="paragraph" w:styleId="Titre8">
    <w:name w:val="heading 8"/>
    <w:basedOn w:val="Normal"/>
    <w:next w:val="Normal"/>
    <w:link w:val="Titre8Car"/>
    <w:uiPriority w:val="9"/>
    <w:semiHidden/>
    <w:unhideWhenUsed/>
    <w:qFormat/>
    <w:rsid w:val="009B1759"/>
    <w:pPr>
      <w:spacing w:before="300" w:after="0"/>
      <w:outlineLvl w:val="7"/>
    </w:pPr>
    <w:rPr>
      <w:rFonts w:eastAsiaTheme="minorEastAsia"/>
      <w:caps/>
      <w:spacing w:val="10"/>
      <w:sz w:val="18"/>
      <w:szCs w:val="18"/>
      <w:lang w:val="en-GB"/>
    </w:rPr>
  </w:style>
  <w:style w:type="paragraph" w:styleId="Titre9">
    <w:name w:val="heading 9"/>
    <w:basedOn w:val="Normal"/>
    <w:next w:val="Normal"/>
    <w:link w:val="Titre9Car"/>
    <w:uiPriority w:val="9"/>
    <w:unhideWhenUsed/>
    <w:qFormat/>
    <w:rsid w:val="009B1759"/>
    <w:pPr>
      <w:spacing w:before="300" w:after="0"/>
      <w:outlineLvl w:val="8"/>
    </w:pPr>
    <w:rPr>
      <w:rFonts w:eastAsiaTheme="minorEastAsia"/>
      <w:i/>
      <w:caps/>
      <w:spacing w:val="10"/>
      <w:sz w:val="18"/>
      <w:szCs w:val="18"/>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07963"/>
    <w:rPr>
      <w:rFonts w:asciiTheme="majorHAnsi" w:eastAsiaTheme="majorEastAsia" w:hAnsiTheme="majorHAnsi" w:cstheme="majorBidi"/>
      <w:b/>
      <w:bCs/>
      <w:caps/>
      <w:color w:val="FFFFFF" w:themeColor="background1"/>
      <w:sz w:val="28"/>
      <w:szCs w:val="28"/>
      <w:shd w:val="solid" w:color="0070C0" w:fill="auto"/>
    </w:rPr>
  </w:style>
  <w:style w:type="character" w:customStyle="1" w:styleId="Titre2Car">
    <w:name w:val="Titre 2 Car"/>
    <w:basedOn w:val="Policepardfaut"/>
    <w:link w:val="Titre2"/>
    <w:uiPriority w:val="9"/>
    <w:rsid w:val="00FC2A37"/>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9B1759"/>
    <w:rPr>
      <w:rFonts w:eastAsiaTheme="minorEastAsia"/>
      <w:caps/>
      <w:color w:val="243F60" w:themeColor="accent1" w:themeShade="7F"/>
      <w:spacing w:val="15"/>
      <w:lang w:val="en-GB"/>
    </w:rPr>
  </w:style>
  <w:style w:type="character" w:customStyle="1" w:styleId="Titre4Car">
    <w:name w:val="Titre 4 Car"/>
    <w:basedOn w:val="Policepardfaut"/>
    <w:link w:val="Titre4"/>
    <w:uiPriority w:val="9"/>
    <w:semiHidden/>
    <w:rsid w:val="009B1759"/>
    <w:rPr>
      <w:rFonts w:eastAsiaTheme="minorEastAsia"/>
      <w:caps/>
      <w:color w:val="365F91" w:themeColor="accent1" w:themeShade="BF"/>
      <w:spacing w:val="10"/>
      <w:lang w:val="en-GB"/>
    </w:rPr>
  </w:style>
  <w:style w:type="character" w:customStyle="1" w:styleId="Titre5Car">
    <w:name w:val="Titre 5 Car"/>
    <w:basedOn w:val="Policepardfaut"/>
    <w:link w:val="Titre5"/>
    <w:uiPriority w:val="9"/>
    <w:semiHidden/>
    <w:rsid w:val="009B1759"/>
    <w:rPr>
      <w:rFonts w:eastAsiaTheme="minorEastAsia"/>
      <w:caps/>
      <w:color w:val="365F91" w:themeColor="accent1" w:themeShade="BF"/>
      <w:spacing w:val="10"/>
      <w:lang w:val="en-GB"/>
    </w:rPr>
  </w:style>
  <w:style w:type="character" w:customStyle="1" w:styleId="Titre6Car">
    <w:name w:val="Titre 6 Car"/>
    <w:basedOn w:val="Policepardfaut"/>
    <w:link w:val="Titre6"/>
    <w:uiPriority w:val="9"/>
    <w:semiHidden/>
    <w:rsid w:val="009B1759"/>
    <w:rPr>
      <w:rFonts w:eastAsiaTheme="minorEastAsia"/>
      <w:caps/>
      <w:color w:val="365F91" w:themeColor="accent1" w:themeShade="BF"/>
      <w:spacing w:val="10"/>
      <w:lang w:val="en-GB"/>
    </w:rPr>
  </w:style>
  <w:style w:type="character" w:customStyle="1" w:styleId="Titre7Car">
    <w:name w:val="Titre 7 Car"/>
    <w:basedOn w:val="Policepardfaut"/>
    <w:link w:val="Titre7"/>
    <w:uiPriority w:val="9"/>
    <w:semiHidden/>
    <w:rsid w:val="009B1759"/>
    <w:rPr>
      <w:rFonts w:eastAsiaTheme="minorEastAsia"/>
      <w:caps/>
      <w:color w:val="365F91" w:themeColor="accent1" w:themeShade="BF"/>
      <w:spacing w:val="10"/>
      <w:lang w:val="en-GB"/>
    </w:rPr>
  </w:style>
  <w:style w:type="character" w:customStyle="1" w:styleId="Titre8Car">
    <w:name w:val="Titre 8 Car"/>
    <w:basedOn w:val="Policepardfaut"/>
    <w:link w:val="Titre8"/>
    <w:uiPriority w:val="9"/>
    <w:semiHidden/>
    <w:rsid w:val="009B1759"/>
    <w:rPr>
      <w:rFonts w:eastAsiaTheme="minorEastAsia"/>
      <w:caps/>
      <w:spacing w:val="10"/>
      <w:sz w:val="18"/>
      <w:szCs w:val="18"/>
      <w:lang w:val="en-GB"/>
    </w:rPr>
  </w:style>
  <w:style w:type="character" w:customStyle="1" w:styleId="Titre9Car">
    <w:name w:val="Titre 9 Car"/>
    <w:basedOn w:val="Policepardfaut"/>
    <w:link w:val="Titre9"/>
    <w:uiPriority w:val="9"/>
    <w:rsid w:val="009B1759"/>
    <w:rPr>
      <w:rFonts w:eastAsiaTheme="minorEastAsia"/>
      <w:i/>
      <w:caps/>
      <w:spacing w:val="10"/>
      <w:sz w:val="18"/>
      <w:szCs w:val="18"/>
      <w:lang w:val="en-GB"/>
    </w:rPr>
  </w:style>
  <w:style w:type="paragraph" w:styleId="Titre">
    <w:name w:val="Title"/>
    <w:basedOn w:val="Normal"/>
    <w:next w:val="Normal"/>
    <w:link w:val="TitreCar"/>
    <w:uiPriority w:val="10"/>
    <w:qFormat/>
    <w:rsid w:val="00FC2A3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FC2A37"/>
    <w:rPr>
      <w:rFonts w:asciiTheme="majorHAnsi" w:eastAsiaTheme="majorEastAsia" w:hAnsiTheme="majorHAnsi" w:cstheme="majorBidi"/>
      <w:color w:val="17365D" w:themeColor="text2" w:themeShade="BF"/>
      <w:spacing w:val="5"/>
      <w:kern w:val="28"/>
      <w:sz w:val="52"/>
      <w:szCs w:val="52"/>
    </w:rPr>
  </w:style>
  <w:style w:type="paragraph" w:styleId="Paragraphedeliste">
    <w:name w:val="List Paragraph"/>
    <w:basedOn w:val="Normal"/>
    <w:uiPriority w:val="34"/>
    <w:qFormat/>
    <w:rsid w:val="00FC2A37"/>
    <w:pPr>
      <w:ind w:left="720"/>
      <w:contextualSpacing/>
    </w:pPr>
  </w:style>
  <w:style w:type="character" w:styleId="Lienhypertexte">
    <w:name w:val="Hyperlink"/>
    <w:basedOn w:val="Policepardfaut"/>
    <w:uiPriority w:val="99"/>
    <w:unhideWhenUsed/>
    <w:rsid w:val="00FC2A37"/>
    <w:rPr>
      <w:color w:val="0000FF" w:themeColor="hyperlink"/>
      <w:u w:val="single"/>
    </w:rPr>
  </w:style>
  <w:style w:type="character" w:styleId="Lienhypertextesuivivisit">
    <w:name w:val="FollowedHyperlink"/>
    <w:basedOn w:val="Policepardfaut"/>
    <w:uiPriority w:val="99"/>
    <w:semiHidden/>
    <w:unhideWhenUsed/>
    <w:rsid w:val="00FC2A37"/>
    <w:rPr>
      <w:color w:val="800080" w:themeColor="followedHyperlink"/>
      <w:u w:val="single"/>
    </w:rPr>
  </w:style>
  <w:style w:type="paragraph" w:customStyle="1" w:styleId="Default">
    <w:name w:val="Default"/>
    <w:uiPriority w:val="99"/>
    <w:rsid w:val="00FA1BB6"/>
    <w:pPr>
      <w:autoSpaceDE w:val="0"/>
      <w:autoSpaceDN w:val="0"/>
      <w:adjustRightInd w:val="0"/>
      <w:spacing w:after="0" w:line="240" w:lineRule="auto"/>
    </w:pPr>
    <w:rPr>
      <w:rFonts w:ascii="Arial" w:hAnsi="Arial" w:cs="Arial"/>
      <w:color w:val="000000"/>
      <w:sz w:val="24"/>
      <w:szCs w:val="24"/>
      <w:lang w:val="en-US"/>
    </w:rPr>
  </w:style>
  <w:style w:type="paragraph" w:styleId="Notedebasdepage">
    <w:name w:val="footnote text"/>
    <w:basedOn w:val="Normal"/>
    <w:link w:val="NotedebasdepageCar"/>
    <w:uiPriority w:val="99"/>
    <w:semiHidden/>
    <w:unhideWhenUsed/>
    <w:rsid w:val="00FA1BB6"/>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FA1BB6"/>
    <w:rPr>
      <w:sz w:val="20"/>
      <w:szCs w:val="20"/>
    </w:rPr>
  </w:style>
  <w:style w:type="character" w:styleId="Appelnotedebasdep">
    <w:name w:val="footnote reference"/>
    <w:basedOn w:val="Policepardfaut"/>
    <w:uiPriority w:val="99"/>
    <w:semiHidden/>
    <w:unhideWhenUsed/>
    <w:rsid w:val="00FA1BB6"/>
    <w:rPr>
      <w:vertAlign w:val="superscript"/>
    </w:rPr>
  </w:style>
  <w:style w:type="paragraph" w:styleId="Notedefin">
    <w:name w:val="endnote text"/>
    <w:basedOn w:val="Normal"/>
    <w:link w:val="NotedefinCar"/>
    <w:uiPriority w:val="99"/>
    <w:semiHidden/>
    <w:unhideWhenUsed/>
    <w:rsid w:val="008B3687"/>
    <w:pPr>
      <w:spacing w:after="0" w:line="240" w:lineRule="auto"/>
    </w:pPr>
    <w:rPr>
      <w:sz w:val="20"/>
      <w:szCs w:val="20"/>
    </w:rPr>
  </w:style>
  <w:style w:type="character" w:customStyle="1" w:styleId="NotedefinCar">
    <w:name w:val="Note de fin Car"/>
    <w:basedOn w:val="Policepardfaut"/>
    <w:link w:val="Notedefin"/>
    <w:uiPriority w:val="99"/>
    <w:semiHidden/>
    <w:rsid w:val="008B3687"/>
    <w:rPr>
      <w:sz w:val="20"/>
      <w:szCs w:val="20"/>
    </w:rPr>
  </w:style>
  <w:style w:type="character" w:styleId="Appeldenotedefin">
    <w:name w:val="endnote reference"/>
    <w:basedOn w:val="Policepardfaut"/>
    <w:uiPriority w:val="99"/>
    <w:semiHidden/>
    <w:unhideWhenUsed/>
    <w:rsid w:val="008B3687"/>
    <w:rPr>
      <w:vertAlign w:val="superscript"/>
    </w:rPr>
  </w:style>
  <w:style w:type="table" w:styleId="Grilledutableau">
    <w:name w:val="Table Grid"/>
    <w:basedOn w:val="TableauNormal"/>
    <w:uiPriority w:val="59"/>
    <w:rsid w:val="008B36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8B3687"/>
    <w:rPr>
      <w:sz w:val="16"/>
      <w:szCs w:val="16"/>
    </w:rPr>
  </w:style>
  <w:style w:type="paragraph" w:styleId="Commentaire">
    <w:name w:val="annotation text"/>
    <w:basedOn w:val="Normal"/>
    <w:link w:val="CommentaireCar"/>
    <w:uiPriority w:val="99"/>
    <w:unhideWhenUsed/>
    <w:rsid w:val="008B3687"/>
    <w:pPr>
      <w:spacing w:line="240" w:lineRule="auto"/>
    </w:pPr>
    <w:rPr>
      <w:sz w:val="20"/>
      <w:szCs w:val="20"/>
    </w:rPr>
  </w:style>
  <w:style w:type="character" w:customStyle="1" w:styleId="CommentaireCar">
    <w:name w:val="Commentaire Car"/>
    <w:basedOn w:val="Policepardfaut"/>
    <w:link w:val="Commentaire"/>
    <w:uiPriority w:val="99"/>
    <w:rsid w:val="008B3687"/>
    <w:rPr>
      <w:sz w:val="20"/>
      <w:szCs w:val="20"/>
    </w:rPr>
  </w:style>
  <w:style w:type="paragraph" w:styleId="Objetducommentaire">
    <w:name w:val="annotation subject"/>
    <w:basedOn w:val="Commentaire"/>
    <w:next w:val="Commentaire"/>
    <w:link w:val="ObjetducommentaireCar"/>
    <w:uiPriority w:val="99"/>
    <w:semiHidden/>
    <w:unhideWhenUsed/>
    <w:rsid w:val="008B3687"/>
    <w:rPr>
      <w:b/>
      <w:bCs/>
    </w:rPr>
  </w:style>
  <w:style w:type="character" w:customStyle="1" w:styleId="ObjetducommentaireCar">
    <w:name w:val="Objet du commentaire Car"/>
    <w:basedOn w:val="CommentaireCar"/>
    <w:link w:val="Objetducommentaire"/>
    <w:uiPriority w:val="99"/>
    <w:semiHidden/>
    <w:rsid w:val="008B3687"/>
    <w:rPr>
      <w:b/>
      <w:bCs/>
      <w:sz w:val="20"/>
      <w:szCs w:val="20"/>
    </w:rPr>
  </w:style>
  <w:style w:type="paragraph" w:styleId="Textedebulles">
    <w:name w:val="Balloon Text"/>
    <w:basedOn w:val="Normal"/>
    <w:link w:val="TextedebullesCar"/>
    <w:uiPriority w:val="99"/>
    <w:semiHidden/>
    <w:unhideWhenUsed/>
    <w:rsid w:val="008B368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B3687"/>
    <w:rPr>
      <w:rFonts w:ascii="Tahoma" w:hAnsi="Tahoma" w:cs="Tahoma"/>
      <w:sz w:val="16"/>
      <w:szCs w:val="16"/>
    </w:rPr>
  </w:style>
  <w:style w:type="character" w:customStyle="1" w:styleId="apple-converted-space">
    <w:name w:val="apple-converted-space"/>
    <w:basedOn w:val="Policepardfaut"/>
    <w:rsid w:val="002F76C7"/>
  </w:style>
  <w:style w:type="paragraph" w:styleId="En-ttedetabledesmatires">
    <w:name w:val="TOC Heading"/>
    <w:basedOn w:val="Titre1"/>
    <w:next w:val="Normal"/>
    <w:uiPriority w:val="39"/>
    <w:unhideWhenUsed/>
    <w:qFormat/>
    <w:rsid w:val="00407963"/>
    <w:pPr>
      <w:outlineLvl w:val="9"/>
    </w:pPr>
    <w:rPr>
      <w:lang w:val="en-US"/>
    </w:rPr>
  </w:style>
  <w:style w:type="paragraph" w:styleId="TM1">
    <w:name w:val="toc 1"/>
    <w:basedOn w:val="Normal"/>
    <w:next w:val="Normal"/>
    <w:autoRedefine/>
    <w:uiPriority w:val="39"/>
    <w:unhideWhenUsed/>
    <w:rsid w:val="00407963"/>
    <w:pPr>
      <w:spacing w:after="100"/>
    </w:pPr>
  </w:style>
  <w:style w:type="paragraph" w:styleId="NormalWeb">
    <w:name w:val="Normal (Web)"/>
    <w:basedOn w:val="Normal"/>
    <w:uiPriority w:val="99"/>
    <w:semiHidden/>
    <w:unhideWhenUsed/>
    <w:rsid w:val="00407963"/>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ansinterligne">
    <w:name w:val="No Spacing"/>
    <w:link w:val="SansinterligneCar"/>
    <w:uiPriority w:val="1"/>
    <w:qFormat/>
    <w:rsid w:val="00407963"/>
    <w:pPr>
      <w:spacing w:after="0" w:line="240" w:lineRule="auto"/>
    </w:pPr>
  </w:style>
  <w:style w:type="character" w:customStyle="1" w:styleId="SansinterligneCar">
    <w:name w:val="Sans interligne Car"/>
    <w:basedOn w:val="Policepardfaut"/>
    <w:link w:val="Sansinterligne"/>
    <w:uiPriority w:val="1"/>
    <w:rsid w:val="009B1759"/>
  </w:style>
  <w:style w:type="paragraph" w:styleId="En-tte">
    <w:name w:val="header"/>
    <w:basedOn w:val="Normal"/>
    <w:link w:val="En-tteCar"/>
    <w:uiPriority w:val="99"/>
    <w:unhideWhenUsed/>
    <w:rsid w:val="002E4657"/>
    <w:pPr>
      <w:tabs>
        <w:tab w:val="center" w:pos="4513"/>
        <w:tab w:val="right" w:pos="9026"/>
      </w:tabs>
      <w:spacing w:before="200"/>
    </w:pPr>
    <w:rPr>
      <w:rFonts w:eastAsiaTheme="minorEastAsia"/>
      <w:sz w:val="20"/>
      <w:szCs w:val="20"/>
      <w:lang w:val="en-GB"/>
    </w:rPr>
  </w:style>
  <w:style w:type="character" w:customStyle="1" w:styleId="En-tteCar">
    <w:name w:val="En-tête Car"/>
    <w:basedOn w:val="Policepardfaut"/>
    <w:link w:val="En-tte"/>
    <w:uiPriority w:val="99"/>
    <w:rsid w:val="002E4657"/>
    <w:rPr>
      <w:rFonts w:eastAsiaTheme="minorEastAsia"/>
      <w:sz w:val="20"/>
      <w:szCs w:val="20"/>
      <w:lang w:val="en-GB"/>
    </w:rPr>
  </w:style>
  <w:style w:type="paragraph" w:styleId="Sous-titre">
    <w:name w:val="Subtitle"/>
    <w:basedOn w:val="Normal"/>
    <w:next w:val="Normal"/>
    <w:link w:val="Sous-titreCar"/>
    <w:uiPriority w:val="11"/>
    <w:qFormat/>
    <w:rsid w:val="002E4657"/>
    <w:pPr>
      <w:spacing w:before="200" w:after="1000" w:line="240" w:lineRule="auto"/>
    </w:pPr>
    <w:rPr>
      <w:rFonts w:eastAsiaTheme="minorEastAsia"/>
      <w:caps/>
      <w:color w:val="595959" w:themeColor="text1" w:themeTint="A6"/>
      <w:spacing w:val="10"/>
      <w:sz w:val="24"/>
      <w:szCs w:val="24"/>
      <w:lang w:val="en-GB"/>
    </w:rPr>
  </w:style>
  <w:style w:type="character" w:customStyle="1" w:styleId="Sous-titreCar">
    <w:name w:val="Sous-titre Car"/>
    <w:basedOn w:val="Policepardfaut"/>
    <w:link w:val="Sous-titre"/>
    <w:uiPriority w:val="11"/>
    <w:rsid w:val="002E4657"/>
    <w:rPr>
      <w:rFonts w:eastAsiaTheme="minorEastAsia"/>
      <w:caps/>
      <w:color w:val="595959" w:themeColor="text1" w:themeTint="A6"/>
      <w:spacing w:val="10"/>
      <w:sz w:val="24"/>
      <w:szCs w:val="24"/>
      <w:lang w:val="en-GB"/>
    </w:rPr>
  </w:style>
  <w:style w:type="character" w:styleId="Emphaseple">
    <w:name w:val="Subtle Emphasis"/>
    <w:uiPriority w:val="19"/>
    <w:qFormat/>
    <w:rsid w:val="002E4657"/>
    <w:rPr>
      <w:b/>
      <w:iCs/>
      <w:color w:val="7F7F7F" w:themeColor="text1" w:themeTint="80"/>
    </w:rPr>
  </w:style>
  <w:style w:type="paragraph" w:styleId="TM2">
    <w:name w:val="toc 2"/>
    <w:basedOn w:val="Normal"/>
    <w:next w:val="Normal"/>
    <w:autoRedefine/>
    <w:uiPriority w:val="39"/>
    <w:unhideWhenUsed/>
    <w:rsid w:val="00C66790"/>
    <w:pPr>
      <w:spacing w:after="100"/>
      <w:ind w:left="220"/>
    </w:pPr>
  </w:style>
  <w:style w:type="paragraph" w:styleId="Pieddepage">
    <w:name w:val="footer"/>
    <w:basedOn w:val="Normal"/>
    <w:link w:val="PieddepageCar"/>
    <w:uiPriority w:val="99"/>
    <w:unhideWhenUsed/>
    <w:rsid w:val="00704FAB"/>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704FAB"/>
  </w:style>
  <w:style w:type="paragraph" w:styleId="TM3">
    <w:name w:val="toc 3"/>
    <w:basedOn w:val="Normal"/>
    <w:next w:val="Normal"/>
    <w:autoRedefine/>
    <w:uiPriority w:val="99"/>
    <w:unhideWhenUsed/>
    <w:rsid w:val="009B1759"/>
    <w:pPr>
      <w:spacing w:before="200"/>
      <w:ind w:left="240"/>
    </w:pPr>
    <w:rPr>
      <w:rFonts w:eastAsiaTheme="minorEastAsia"/>
      <w:sz w:val="20"/>
      <w:szCs w:val="20"/>
      <w:lang w:val="en-GB"/>
    </w:rPr>
  </w:style>
  <w:style w:type="paragraph" w:styleId="TM4">
    <w:name w:val="toc 4"/>
    <w:basedOn w:val="Normal"/>
    <w:next w:val="Normal"/>
    <w:autoRedefine/>
    <w:uiPriority w:val="99"/>
    <w:unhideWhenUsed/>
    <w:rsid w:val="009B1759"/>
    <w:pPr>
      <w:spacing w:before="200"/>
      <w:ind w:left="480"/>
    </w:pPr>
    <w:rPr>
      <w:rFonts w:eastAsiaTheme="minorEastAsia"/>
      <w:sz w:val="20"/>
      <w:szCs w:val="20"/>
      <w:lang w:val="en-GB"/>
    </w:rPr>
  </w:style>
  <w:style w:type="paragraph" w:styleId="TM5">
    <w:name w:val="toc 5"/>
    <w:basedOn w:val="Normal"/>
    <w:next w:val="Normal"/>
    <w:autoRedefine/>
    <w:uiPriority w:val="99"/>
    <w:unhideWhenUsed/>
    <w:rsid w:val="009B1759"/>
    <w:pPr>
      <w:spacing w:before="200"/>
      <w:ind w:left="720"/>
    </w:pPr>
    <w:rPr>
      <w:rFonts w:eastAsiaTheme="minorEastAsia"/>
      <w:sz w:val="20"/>
      <w:szCs w:val="20"/>
      <w:lang w:val="en-GB"/>
    </w:rPr>
  </w:style>
  <w:style w:type="paragraph" w:styleId="TM6">
    <w:name w:val="toc 6"/>
    <w:basedOn w:val="Normal"/>
    <w:next w:val="Normal"/>
    <w:autoRedefine/>
    <w:uiPriority w:val="99"/>
    <w:unhideWhenUsed/>
    <w:rsid w:val="009B1759"/>
    <w:pPr>
      <w:spacing w:before="200"/>
      <w:ind w:left="960"/>
    </w:pPr>
    <w:rPr>
      <w:rFonts w:eastAsiaTheme="minorEastAsia"/>
      <w:sz w:val="20"/>
      <w:szCs w:val="20"/>
      <w:lang w:val="en-GB"/>
    </w:rPr>
  </w:style>
  <w:style w:type="paragraph" w:styleId="TM7">
    <w:name w:val="toc 7"/>
    <w:basedOn w:val="Normal"/>
    <w:next w:val="Normal"/>
    <w:autoRedefine/>
    <w:uiPriority w:val="99"/>
    <w:unhideWhenUsed/>
    <w:rsid w:val="009B1759"/>
    <w:pPr>
      <w:spacing w:before="200"/>
      <w:ind w:left="1200"/>
    </w:pPr>
    <w:rPr>
      <w:rFonts w:eastAsiaTheme="minorEastAsia"/>
      <w:sz w:val="20"/>
      <w:szCs w:val="20"/>
      <w:lang w:val="en-GB"/>
    </w:rPr>
  </w:style>
  <w:style w:type="paragraph" w:styleId="TM8">
    <w:name w:val="toc 8"/>
    <w:basedOn w:val="Normal"/>
    <w:next w:val="Normal"/>
    <w:autoRedefine/>
    <w:uiPriority w:val="99"/>
    <w:unhideWhenUsed/>
    <w:rsid w:val="009B1759"/>
    <w:pPr>
      <w:spacing w:before="200"/>
      <w:ind w:left="1440"/>
    </w:pPr>
    <w:rPr>
      <w:rFonts w:eastAsiaTheme="minorEastAsia"/>
      <w:sz w:val="20"/>
      <w:szCs w:val="20"/>
      <w:lang w:val="en-GB"/>
    </w:rPr>
  </w:style>
  <w:style w:type="paragraph" w:styleId="TM9">
    <w:name w:val="toc 9"/>
    <w:basedOn w:val="Normal"/>
    <w:next w:val="Normal"/>
    <w:autoRedefine/>
    <w:uiPriority w:val="99"/>
    <w:unhideWhenUsed/>
    <w:rsid w:val="009B1759"/>
    <w:pPr>
      <w:spacing w:before="200"/>
      <w:ind w:left="1680"/>
    </w:pPr>
    <w:rPr>
      <w:rFonts w:eastAsiaTheme="minorEastAsia"/>
      <w:sz w:val="20"/>
      <w:szCs w:val="20"/>
      <w:lang w:val="en-GB"/>
    </w:rPr>
  </w:style>
  <w:style w:type="paragraph" w:styleId="Corpsdetexte">
    <w:name w:val="Body Text"/>
    <w:basedOn w:val="Normal"/>
    <w:link w:val="CorpsdetexteCar"/>
    <w:uiPriority w:val="99"/>
    <w:semiHidden/>
    <w:unhideWhenUsed/>
    <w:rsid w:val="009B1759"/>
    <w:pPr>
      <w:widowControl w:val="0"/>
      <w:autoSpaceDE w:val="0"/>
      <w:autoSpaceDN w:val="0"/>
      <w:adjustRightInd w:val="0"/>
      <w:spacing w:before="200"/>
      <w:jc w:val="center"/>
    </w:pPr>
    <w:rPr>
      <w:rFonts w:eastAsiaTheme="minorEastAsia"/>
      <w:b/>
      <w:color w:val="000000"/>
      <w:sz w:val="40"/>
      <w:szCs w:val="20"/>
      <w:lang w:val="en-GB"/>
    </w:rPr>
  </w:style>
  <w:style w:type="character" w:customStyle="1" w:styleId="CorpsdetexteCar">
    <w:name w:val="Corps de texte Car"/>
    <w:basedOn w:val="Policepardfaut"/>
    <w:link w:val="Corpsdetexte"/>
    <w:uiPriority w:val="99"/>
    <w:semiHidden/>
    <w:rsid w:val="009B1759"/>
    <w:rPr>
      <w:rFonts w:eastAsiaTheme="minorEastAsia"/>
      <w:b/>
      <w:color w:val="000000"/>
      <w:sz w:val="40"/>
      <w:szCs w:val="20"/>
      <w:lang w:val="en-GB"/>
    </w:rPr>
  </w:style>
  <w:style w:type="paragraph" w:styleId="Retraitcorpsdetexte">
    <w:name w:val="Body Text Indent"/>
    <w:basedOn w:val="Normal"/>
    <w:link w:val="RetraitcorpsdetexteCar"/>
    <w:uiPriority w:val="99"/>
    <w:semiHidden/>
    <w:unhideWhenUsed/>
    <w:rsid w:val="009B1759"/>
    <w:pPr>
      <w:spacing w:before="200"/>
      <w:ind w:left="1080"/>
    </w:pPr>
    <w:rPr>
      <w:rFonts w:eastAsiaTheme="minorEastAsia"/>
      <w:sz w:val="20"/>
      <w:szCs w:val="20"/>
      <w:lang w:val="en-GB"/>
    </w:rPr>
  </w:style>
  <w:style w:type="character" w:customStyle="1" w:styleId="RetraitcorpsdetexteCar">
    <w:name w:val="Retrait corps de texte Car"/>
    <w:basedOn w:val="Policepardfaut"/>
    <w:link w:val="Retraitcorpsdetexte"/>
    <w:uiPriority w:val="99"/>
    <w:semiHidden/>
    <w:rsid w:val="009B1759"/>
    <w:rPr>
      <w:rFonts w:eastAsiaTheme="minorEastAsia"/>
      <w:sz w:val="20"/>
      <w:szCs w:val="20"/>
      <w:lang w:val="en-GB"/>
    </w:rPr>
  </w:style>
  <w:style w:type="paragraph" w:styleId="Corpsdetexte2">
    <w:name w:val="Body Text 2"/>
    <w:basedOn w:val="Normal"/>
    <w:link w:val="Corpsdetexte2Car"/>
    <w:uiPriority w:val="99"/>
    <w:semiHidden/>
    <w:unhideWhenUsed/>
    <w:rsid w:val="009B1759"/>
    <w:pPr>
      <w:tabs>
        <w:tab w:val="left" w:pos="1620"/>
      </w:tabs>
      <w:spacing w:before="200"/>
    </w:pPr>
    <w:rPr>
      <w:rFonts w:eastAsiaTheme="minorEastAsia"/>
      <w:sz w:val="32"/>
      <w:szCs w:val="20"/>
      <w:lang w:val="en-GB"/>
    </w:rPr>
  </w:style>
  <w:style w:type="character" w:customStyle="1" w:styleId="Corpsdetexte2Car">
    <w:name w:val="Corps de texte 2 Car"/>
    <w:basedOn w:val="Policepardfaut"/>
    <w:link w:val="Corpsdetexte2"/>
    <w:uiPriority w:val="99"/>
    <w:semiHidden/>
    <w:rsid w:val="009B1759"/>
    <w:rPr>
      <w:rFonts w:eastAsiaTheme="minorEastAsia"/>
      <w:sz w:val="32"/>
      <w:szCs w:val="20"/>
      <w:lang w:val="en-GB"/>
    </w:rPr>
  </w:style>
  <w:style w:type="paragraph" w:styleId="Retraitcorpsdetexte2">
    <w:name w:val="Body Text Indent 2"/>
    <w:basedOn w:val="Normal"/>
    <w:link w:val="Retraitcorpsdetexte2Car"/>
    <w:uiPriority w:val="99"/>
    <w:semiHidden/>
    <w:unhideWhenUsed/>
    <w:rsid w:val="009B1759"/>
    <w:pPr>
      <w:tabs>
        <w:tab w:val="num" w:pos="720"/>
      </w:tabs>
      <w:spacing w:before="200"/>
      <w:ind w:left="360" w:hanging="360"/>
    </w:pPr>
    <w:rPr>
      <w:rFonts w:eastAsiaTheme="minorEastAsia"/>
      <w:sz w:val="20"/>
      <w:szCs w:val="20"/>
      <w:lang w:val="en-GB"/>
    </w:rPr>
  </w:style>
  <w:style w:type="character" w:customStyle="1" w:styleId="Retraitcorpsdetexte2Car">
    <w:name w:val="Retrait corps de texte 2 Car"/>
    <w:basedOn w:val="Policepardfaut"/>
    <w:link w:val="Retraitcorpsdetexte2"/>
    <w:uiPriority w:val="99"/>
    <w:semiHidden/>
    <w:rsid w:val="009B1759"/>
    <w:rPr>
      <w:rFonts w:eastAsiaTheme="minorEastAsia"/>
      <w:sz w:val="20"/>
      <w:szCs w:val="20"/>
      <w:lang w:val="en-GB"/>
    </w:rPr>
  </w:style>
  <w:style w:type="paragraph" w:styleId="Retraitcorpsdetexte3">
    <w:name w:val="Body Text Indent 3"/>
    <w:basedOn w:val="Normal"/>
    <w:link w:val="Retraitcorpsdetexte3Car"/>
    <w:uiPriority w:val="99"/>
    <w:semiHidden/>
    <w:unhideWhenUsed/>
    <w:rsid w:val="009B1759"/>
    <w:pPr>
      <w:spacing w:before="200"/>
      <w:ind w:left="360"/>
    </w:pPr>
    <w:rPr>
      <w:rFonts w:eastAsiaTheme="minorEastAsia"/>
      <w:sz w:val="20"/>
      <w:szCs w:val="20"/>
      <w:lang w:val="en-GB"/>
    </w:rPr>
  </w:style>
  <w:style w:type="character" w:customStyle="1" w:styleId="Retraitcorpsdetexte3Car">
    <w:name w:val="Retrait corps de texte 3 Car"/>
    <w:basedOn w:val="Policepardfaut"/>
    <w:link w:val="Retraitcorpsdetexte3"/>
    <w:uiPriority w:val="99"/>
    <w:semiHidden/>
    <w:rsid w:val="009B1759"/>
    <w:rPr>
      <w:rFonts w:eastAsiaTheme="minorEastAsia"/>
      <w:sz w:val="20"/>
      <w:szCs w:val="20"/>
      <w:lang w:val="en-GB"/>
    </w:rPr>
  </w:style>
  <w:style w:type="paragraph" w:customStyle="1" w:styleId="RAPrimaryQuestion">
    <w:name w:val="RA Primary Question"/>
    <w:basedOn w:val="Paragraphedeliste"/>
    <w:uiPriority w:val="99"/>
    <w:rsid w:val="009B1759"/>
    <w:pPr>
      <w:numPr>
        <w:ilvl w:val="1"/>
        <w:numId w:val="30"/>
      </w:numPr>
      <w:tabs>
        <w:tab w:val="left" w:pos="360"/>
      </w:tabs>
      <w:spacing w:before="200"/>
    </w:pPr>
    <w:rPr>
      <w:rFonts w:eastAsiaTheme="minorEastAsia"/>
      <w:sz w:val="20"/>
      <w:szCs w:val="20"/>
      <w:lang w:val="en-GB"/>
    </w:rPr>
  </w:style>
  <w:style w:type="paragraph" w:customStyle="1" w:styleId="RASecondaryQuestion">
    <w:name w:val="RA Secondary Question"/>
    <w:basedOn w:val="Paragraphedeliste"/>
    <w:uiPriority w:val="99"/>
    <w:rsid w:val="009B1759"/>
    <w:pPr>
      <w:spacing w:before="200"/>
      <w:ind w:left="1800" w:hanging="360"/>
    </w:pPr>
    <w:rPr>
      <w:rFonts w:eastAsiaTheme="minorEastAsia"/>
      <w:sz w:val="20"/>
      <w:szCs w:val="20"/>
      <w:lang w:val="en-GB"/>
    </w:rPr>
  </w:style>
  <w:style w:type="paragraph" w:customStyle="1" w:styleId="RASectionHeading">
    <w:name w:val="RA Section Heading"/>
    <w:basedOn w:val="Normal"/>
    <w:uiPriority w:val="99"/>
    <w:rsid w:val="009B1759"/>
    <w:pPr>
      <w:spacing w:before="120"/>
    </w:pPr>
    <w:rPr>
      <w:rFonts w:eastAsiaTheme="minorEastAsia"/>
      <w:b/>
      <w:sz w:val="20"/>
      <w:szCs w:val="20"/>
      <w:lang w:val="en-GB"/>
    </w:rPr>
  </w:style>
  <w:style w:type="paragraph" w:customStyle="1" w:styleId="RALevel0Bullet">
    <w:name w:val="RA Level 0 Bullet"/>
    <w:basedOn w:val="Normal"/>
    <w:uiPriority w:val="99"/>
    <w:rsid w:val="009B1759"/>
    <w:pPr>
      <w:tabs>
        <w:tab w:val="num" w:pos="720"/>
      </w:tabs>
      <w:spacing w:before="200"/>
      <w:ind w:left="720" w:hanging="720"/>
    </w:pPr>
    <w:rPr>
      <w:rFonts w:eastAsiaTheme="minorEastAsia"/>
      <w:sz w:val="20"/>
      <w:szCs w:val="20"/>
      <w:lang w:val="en-GB"/>
    </w:rPr>
  </w:style>
  <w:style w:type="character" w:customStyle="1" w:styleId="longtext">
    <w:name w:val="long_text"/>
    <w:basedOn w:val="Policepardfaut"/>
    <w:rsid w:val="009B1759"/>
  </w:style>
  <w:style w:type="character" w:customStyle="1" w:styleId="hps">
    <w:name w:val="hps"/>
    <w:basedOn w:val="Policepardfaut"/>
    <w:rsid w:val="009B1759"/>
  </w:style>
  <w:style w:type="paragraph" w:styleId="Lgende">
    <w:name w:val="caption"/>
    <w:basedOn w:val="Normal"/>
    <w:next w:val="Normal"/>
    <w:uiPriority w:val="35"/>
    <w:semiHidden/>
    <w:unhideWhenUsed/>
    <w:qFormat/>
    <w:rsid w:val="009B1759"/>
    <w:pPr>
      <w:spacing w:before="200"/>
    </w:pPr>
    <w:rPr>
      <w:rFonts w:eastAsiaTheme="minorEastAsia"/>
      <w:b/>
      <w:bCs/>
      <w:color w:val="365F91" w:themeColor="accent1" w:themeShade="BF"/>
      <w:sz w:val="16"/>
      <w:szCs w:val="16"/>
      <w:lang w:val="en-GB"/>
    </w:rPr>
  </w:style>
  <w:style w:type="character" w:styleId="lev">
    <w:name w:val="Strong"/>
    <w:uiPriority w:val="22"/>
    <w:qFormat/>
    <w:rsid w:val="009B1759"/>
    <w:rPr>
      <w:b/>
      <w:bCs/>
    </w:rPr>
  </w:style>
  <w:style w:type="character" w:styleId="Accentuation">
    <w:name w:val="Emphasis"/>
    <w:uiPriority w:val="20"/>
    <w:qFormat/>
    <w:rsid w:val="009B1759"/>
    <w:rPr>
      <w:caps/>
      <w:color w:val="243F60" w:themeColor="accent1" w:themeShade="7F"/>
      <w:spacing w:val="5"/>
    </w:rPr>
  </w:style>
  <w:style w:type="paragraph" w:styleId="Citation">
    <w:name w:val="Quote"/>
    <w:basedOn w:val="Normal"/>
    <w:next w:val="Normal"/>
    <w:link w:val="CitationCar"/>
    <w:uiPriority w:val="29"/>
    <w:qFormat/>
    <w:rsid w:val="009B1759"/>
    <w:pPr>
      <w:spacing w:before="200"/>
    </w:pPr>
    <w:rPr>
      <w:rFonts w:eastAsiaTheme="minorEastAsia"/>
      <w:i/>
      <w:iCs/>
      <w:sz w:val="20"/>
      <w:szCs w:val="20"/>
      <w:lang w:val="en-GB"/>
    </w:rPr>
  </w:style>
  <w:style w:type="character" w:customStyle="1" w:styleId="CitationCar">
    <w:name w:val="Citation Car"/>
    <w:basedOn w:val="Policepardfaut"/>
    <w:link w:val="Citation"/>
    <w:uiPriority w:val="29"/>
    <w:rsid w:val="009B1759"/>
    <w:rPr>
      <w:rFonts w:eastAsiaTheme="minorEastAsia"/>
      <w:i/>
      <w:iCs/>
      <w:sz w:val="20"/>
      <w:szCs w:val="20"/>
      <w:lang w:val="en-GB"/>
    </w:rPr>
  </w:style>
  <w:style w:type="paragraph" w:styleId="Citationintense">
    <w:name w:val="Intense Quote"/>
    <w:basedOn w:val="Normal"/>
    <w:next w:val="Normal"/>
    <w:link w:val="CitationintenseCar"/>
    <w:uiPriority w:val="30"/>
    <w:qFormat/>
    <w:rsid w:val="009B1759"/>
    <w:pPr>
      <w:pBdr>
        <w:top w:val="single" w:sz="4" w:space="10" w:color="4F81BD" w:themeColor="accent1"/>
        <w:left w:val="single" w:sz="4" w:space="10" w:color="4F81BD" w:themeColor="accent1"/>
      </w:pBdr>
      <w:spacing w:before="200" w:after="0"/>
      <w:ind w:left="1296" w:right="1152"/>
      <w:jc w:val="both"/>
    </w:pPr>
    <w:rPr>
      <w:rFonts w:eastAsiaTheme="minorEastAsia"/>
      <w:i/>
      <w:iCs/>
      <w:color w:val="4F81BD" w:themeColor="accent1"/>
      <w:sz w:val="20"/>
      <w:szCs w:val="20"/>
      <w:lang w:val="en-GB"/>
    </w:rPr>
  </w:style>
  <w:style w:type="character" w:customStyle="1" w:styleId="CitationintenseCar">
    <w:name w:val="Citation intense Car"/>
    <w:basedOn w:val="Policepardfaut"/>
    <w:link w:val="Citationintense"/>
    <w:uiPriority w:val="30"/>
    <w:rsid w:val="009B1759"/>
    <w:rPr>
      <w:rFonts w:eastAsiaTheme="minorEastAsia"/>
      <w:i/>
      <w:iCs/>
      <w:color w:val="4F81BD" w:themeColor="accent1"/>
      <w:sz w:val="20"/>
      <w:szCs w:val="20"/>
      <w:lang w:val="en-GB"/>
    </w:rPr>
  </w:style>
  <w:style w:type="character" w:styleId="Emphaseintense">
    <w:name w:val="Intense Emphasis"/>
    <w:uiPriority w:val="21"/>
    <w:qFormat/>
    <w:rsid w:val="009B1759"/>
    <w:rPr>
      <w:b/>
      <w:bCs/>
      <w:caps/>
      <w:color w:val="243F60" w:themeColor="accent1" w:themeShade="7F"/>
      <w:spacing w:val="10"/>
    </w:rPr>
  </w:style>
  <w:style w:type="character" w:styleId="Rfrenceple">
    <w:name w:val="Subtle Reference"/>
    <w:uiPriority w:val="31"/>
    <w:qFormat/>
    <w:rsid w:val="009B1759"/>
    <w:rPr>
      <w:b/>
      <w:bCs/>
      <w:color w:val="4F81BD" w:themeColor="accent1"/>
    </w:rPr>
  </w:style>
  <w:style w:type="character" w:styleId="Rfrenceintense">
    <w:name w:val="Intense Reference"/>
    <w:uiPriority w:val="32"/>
    <w:qFormat/>
    <w:rsid w:val="009B1759"/>
    <w:rPr>
      <w:b/>
      <w:bCs/>
      <w:i/>
      <w:iCs/>
      <w:caps/>
      <w:color w:val="4F81BD" w:themeColor="accent1"/>
    </w:rPr>
  </w:style>
  <w:style w:type="character" w:styleId="Titredulivre">
    <w:name w:val="Book Title"/>
    <w:uiPriority w:val="33"/>
    <w:qFormat/>
    <w:rsid w:val="009B1759"/>
    <w:rPr>
      <w:b/>
      <w:bCs/>
      <w:i/>
      <w:iCs/>
      <w:spacing w:val="9"/>
    </w:rPr>
  </w:style>
  <w:style w:type="paragraph" w:customStyle="1" w:styleId="xl65">
    <w:name w:val="xl65"/>
    <w:basedOn w:val="Normal"/>
    <w:uiPriority w:val="99"/>
    <w:rsid w:val="009B17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GB" w:eastAsia="fr-FR"/>
    </w:rPr>
  </w:style>
  <w:style w:type="paragraph" w:customStyle="1" w:styleId="xl66">
    <w:name w:val="xl66"/>
    <w:basedOn w:val="Normal"/>
    <w:uiPriority w:val="99"/>
    <w:rsid w:val="009B175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GB" w:eastAsia="fr-FR"/>
    </w:rPr>
  </w:style>
  <w:style w:type="paragraph" w:customStyle="1" w:styleId="xl67">
    <w:name w:val="xl67"/>
    <w:basedOn w:val="Normal"/>
    <w:uiPriority w:val="99"/>
    <w:rsid w:val="009B1759"/>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line="240" w:lineRule="auto"/>
    </w:pPr>
    <w:rPr>
      <w:rFonts w:ascii="Times New Roman" w:eastAsia="Times New Roman" w:hAnsi="Times New Roman" w:cs="Times New Roman"/>
      <w:sz w:val="24"/>
      <w:szCs w:val="24"/>
      <w:lang w:val="en-GB" w:eastAsia="fr-FR"/>
    </w:rPr>
  </w:style>
  <w:style w:type="paragraph" w:customStyle="1" w:styleId="xl68">
    <w:name w:val="xl68"/>
    <w:basedOn w:val="Normal"/>
    <w:uiPriority w:val="99"/>
    <w:rsid w:val="009B175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pPr>
    <w:rPr>
      <w:rFonts w:ascii="Times New Roman" w:eastAsia="Times New Roman" w:hAnsi="Times New Roman" w:cs="Times New Roman"/>
      <w:sz w:val="24"/>
      <w:szCs w:val="24"/>
      <w:lang w:val="en-GB" w:eastAsia="fr-FR"/>
    </w:rPr>
  </w:style>
  <w:style w:type="paragraph" w:customStyle="1" w:styleId="xl69">
    <w:name w:val="xl69"/>
    <w:basedOn w:val="Normal"/>
    <w:uiPriority w:val="99"/>
    <w:rsid w:val="009B1759"/>
    <w:pPr>
      <w:spacing w:before="100" w:beforeAutospacing="1" w:after="100" w:afterAutospacing="1" w:line="240" w:lineRule="auto"/>
    </w:pPr>
    <w:rPr>
      <w:rFonts w:ascii="Times New Roman" w:eastAsia="Times New Roman" w:hAnsi="Times New Roman" w:cs="Times New Roman"/>
      <w:sz w:val="24"/>
      <w:szCs w:val="24"/>
      <w:lang w:val="en-GB" w:eastAsia="fr-FR"/>
    </w:rPr>
  </w:style>
  <w:style w:type="paragraph" w:customStyle="1" w:styleId="xl70">
    <w:name w:val="xl70"/>
    <w:basedOn w:val="Normal"/>
    <w:uiPriority w:val="99"/>
    <w:rsid w:val="009B1759"/>
    <w:pPr>
      <w:pBdr>
        <w:top w:val="single" w:sz="4" w:space="0" w:color="auto"/>
        <w:left w:val="single" w:sz="4" w:space="0" w:color="auto"/>
        <w:bottom w:val="single" w:sz="4" w:space="0" w:color="auto"/>
      </w:pBdr>
      <w:shd w:val="clear" w:color="000000" w:fill="DCE6F1"/>
      <w:spacing w:before="100" w:beforeAutospacing="1" w:after="100" w:afterAutospacing="1" w:line="240" w:lineRule="auto"/>
    </w:pPr>
    <w:rPr>
      <w:rFonts w:ascii="Times New Roman" w:eastAsia="Times New Roman" w:hAnsi="Times New Roman" w:cs="Times New Roman"/>
      <w:sz w:val="24"/>
      <w:szCs w:val="24"/>
      <w:lang w:val="en-GB" w:eastAsia="fr-FR"/>
    </w:rPr>
  </w:style>
  <w:style w:type="paragraph" w:customStyle="1" w:styleId="xl71">
    <w:name w:val="xl71"/>
    <w:basedOn w:val="Normal"/>
    <w:uiPriority w:val="99"/>
    <w:rsid w:val="009B1759"/>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val="en-GB" w:eastAsia="fr-FR"/>
    </w:rPr>
  </w:style>
  <w:style w:type="paragraph" w:customStyle="1" w:styleId="xl72">
    <w:name w:val="xl72"/>
    <w:basedOn w:val="Normal"/>
    <w:uiPriority w:val="99"/>
    <w:rsid w:val="009B1759"/>
    <w:pPr>
      <w:pBdr>
        <w:top w:val="single" w:sz="4" w:space="0" w:color="auto"/>
        <w:left w:val="single" w:sz="12" w:space="0" w:color="auto"/>
        <w:bottom w:val="single" w:sz="4" w:space="0" w:color="auto"/>
        <w:right w:val="single" w:sz="4" w:space="0" w:color="auto"/>
      </w:pBdr>
      <w:shd w:val="clear" w:color="000000" w:fill="DCE6F1"/>
      <w:spacing w:before="100" w:beforeAutospacing="1" w:after="100" w:afterAutospacing="1" w:line="240" w:lineRule="auto"/>
    </w:pPr>
    <w:rPr>
      <w:rFonts w:ascii="Times New Roman" w:eastAsia="Times New Roman" w:hAnsi="Times New Roman" w:cs="Times New Roman"/>
      <w:sz w:val="24"/>
      <w:szCs w:val="24"/>
      <w:lang w:val="en-GB" w:eastAsia="fr-FR"/>
    </w:rPr>
  </w:style>
  <w:style w:type="paragraph" w:customStyle="1" w:styleId="xl73">
    <w:name w:val="xl73"/>
    <w:basedOn w:val="Normal"/>
    <w:uiPriority w:val="99"/>
    <w:rsid w:val="009B1759"/>
    <w:pPr>
      <w:pBdr>
        <w:top w:val="single" w:sz="4" w:space="0" w:color="auto"/>
        <w:left w:val="single" w:sz="12"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GB" w:eastAsia="fr-FR"/>
    </w:rPr>
  </w:style>
  <w:style w:type="paragraph" w:customStyle="1" w:styleId="xl74">
    <w:name w:val="xl74"/>
    <w:basedOn w:val="Normal"/>
    <w:uiPriority w:val="99"/>
    <w:rsid w:val="009B1759"/>
    <w:pPr>
      <w:spacing w:before="100" w:beforeAutospacing="1" w:after="100" w:afterAutospacing="1" w:line="240" w:lineRule="auto"/>
    </w:pPr>
    <w:rPr>
      <w:rFonts w:ascii="Times New Roman" w:eastAsia="Times New Roman" w:hAnsi="Times New Roman" w:cs="Times New Roman"/>
      <w:sz w:val="24"/>
      <w:szCs w:val="24"/>
      <w:lang w:val="en-GB" w:eastAsia="fr-FR"/>
    </w:rPr>
  </w:style>
  <w:style w:type="paragraph" w:customStyle="1" w:styleId="xl75">
    <w:name w:val="xl75"/>
    <w:basedOn w:val="Normal"/>
    <w:uiPriority w:val="99"/>
    <w:rsid w:val="009B1759"/>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line="240" w:lineRule="auto"/>
    </w:pPr>
    <w:rPr>
      <w:rFonts w:ascii="Times New Roman" w:eastAsia="Times New Roman" w:hAnsi="Times New Roman" w:cs="Times New Roman"/>
      <w:sz w:val="24"/>
      <w:szCs w:val="24"/>
      <w:lang w:val="en-GB" w:eastAsia="fr-FR"/>
    </w:rPr>
  </w:style>
  <w:style w:type="paragraph" w:customStyle="1" w:styleId="xl76">
    <w:name w:val="xl76"/>
    <w:basedOn w:val="Normal"/>
    <w:uiPriority w:val="99"/>
    <w:rsid w:val="009B1759"/>
    <w:pPr>
      <w:pBdr>
        <w:top w:val="single" w:sz="4" w:space="0" w:color="auto"/>
        <w:left w:val="single" w:sz="4" w:space="0" w:color="auto"/>
        <w:bottom w:val="single" w:sz="4" w:space="0" w:color="auto"/>
      </w:pBdr>
      <w:shd w:val="clear" w:color="000000" w:fill="E26B0A"/>
      <w:spacing w:before="100" w:beforeAutospacing="1" w:after="100" w:afterAutospacing="1" w:line="240" w:lineRule="auto"/>
    </w:pPr>
    <w:rPr>
      <w:rFonts w:ascii="Times New Roman" w:eastAsia="Times New Roman" w:hAnsi="Times New Roman" w:cs="Times New Roman"/>
      <w:sz w:val="24"/>
      <w:szCs w:val="24"/>
      <w:lang w:val="en-GB" w:eastAsia="fr-FR"/>
    </w:rPr>
  </w:style>
  <w:style w:type="paragraph" w:customStyle="1" w:styleId="xl77">
    <w:name w:val="xl77"/>
    <w:basedOn w:val="Normal"/>
    <w:uiPriority w:val="99"/>
    <w:rsid w:val="009B1759"/>
    <w:pPr>
      <w:pBdr>
        <w:top w:val="single" w:sz="4" w:space="0" w:color="auto"/>
        <w:left w:val="single" w:sz="12" w:space="0" w:color="auto"/>
        <w:bottom w:val="single" w:sz="4" w:space="0" w:color="auto"/>
        <w:right w:val="single" w:sz="4" w:space="0" w:color="auto"/>
      </w:pBdr>
      <w:shd w:val="clear" w:color="000000" w:fill="E26B0A"/>
      <w:spacing w:before="100" w:beforeAutospacing="1" w:after="100" w:afterAutospacing="1" w:line="240" w:lineRule="auto"/>
    </w:pPr>
    <w:rPr>
      <w:rFonts w:ascii="Times New Roman" w:eastAsia="Times New Roman" w:hAnsi="Times New Roman" w:cs="Times New Roman"/>
      <w:sz w:val="24"/>
      <w:szCs w:val="24"/>
      <w:lang w:val="en-GB" w:eastAsia="fr-FR"/>
    </w:rPr>
  </w:style>
  <w:style w:type="paragraph" w:customStyle="1" w:styleId="xl78">
    <w:name w:val="xl78"/>
    <w:basedOn w:val="Normal"/>
    <w:uiPriority w:val="99"/>
    <w:rsid w:val="009B17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en-GB" w:eastAsia="fr-FR"/>
    </w:rPr>
  </w:style>
  <w:style w:type="paragraph" w:customStyle="1" w:styleId="xl79">
    <w:name w:val="xl79"/>
    <w:basedOn w:val="Normal"/>
    <w:uiPriority w:val="99"/>
    <w:rsid w:val="009B17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GB" w:eastAsia="fr-FR"/>
    </w:rPr>
  </w:style>
  <w:style w:type="paragraph" w:customStyle="1" w:styleId="xl80">
    <w:name w:val="xl80"/>
    <w:basedOn w:val="Normal"/>
    <w:uiPriority w:val="99"/>
    <w:rsid w:val="009B175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GB" w:eastAsia="fr-FR"/>
    </w:rPr>
  </w:style>
  <w:style w:type="paragraph" w:customStyle="1" w:styleId="xl81">
    <w:name w:val="xl81"/>
    <w:basedOn w:val="Normal"/>
    <w:uiPriority w:val="99"/>
    <w:rsid w:val="009B175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GB" w:eastAsia="fr-FR"/>
    </w:rPr>
  </w:style>
  <w:style w:type="paragraph" w:customStyle="1" w:styleId="xl82">
    <w:name w:val="xl82"/>
    <w:basedOn w:val="Normal"/>
    <w:uiPriority w:val="99"/>
    <w:rsid w:val="009B1759"/>
    <w:pPr>
      <w:spacing w:before="100" w:beforeAutospacing="1" w:after="100" w:afterAutospacing="1" w:line="240" w:lineRule="auto"/>
      <w:textAlignment w:val="center"/>
    </w:pPr>
    <w:rPr>
      <w:rFonts w:ascii="Times New Roman" w:eastAsia="Times New Roman" w:hAnsi="Times New Roman" w:cs="Times New Roman"/>
      <w:sz w:val="18"/>
      <w:szCs w:val="18"/>
      <w:lang w:val="en-GB" w:eastAsia="fr-FR"/>
    </w:rPr>
  </w:style>
  <w:style w:type="paragraph" w:customStyle="1" w:styleId="xl83">
    <w:name w:val="xl83"/>
    <w:basedOn w:val="Normal"/>
    <w:uiPriority w:val="99"/>
    <w:rsid w:val="009B1759"/>
    <w:pPr>
      <w:shd w:val="clear" w:color="000000" w:fill="B1A0C7"/>
      <w:spacing w:before="100" w:beforeAutospacing="1" w:after="100" w:afterAutospacing="1" w:line="240" w:lineRule="auto"/>
      <w:textAlignment w:val="center"/>
    </w:pPr>
    <w:rPr>
      <w:rFonts w:ascii="Times New Roman" w:eastAsia="Times New Roman" w:hAnsi="Times New Roman" w:cs="Times New Roman"/>
      <w:sz w:val="32"/>
      <w:szCs w:val="32"/>
      <w:lang w:val="en-GB" w:eastAsia="fr-FR"/>
    </w:rPr>
  </w:style>
  <w:style w:type="paragraph" w:customStyle="1" w:styleId="xl84">
    <w:name w:val="xl84"/>
    <w:basedOn w:val="Normal"/>
    <w:uiPriority w:val="99"/>
    <w:rsid w:val="009B1759"/>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line="240" w:lineRule="auto"/>
    </w:pPr>
    <w:rPr>
      <w:rFonts w:ascii="Times New Roman" w:eastAsia="Times New Roman" w:hAnsi="Times New Roman" w:cs="Times New Roman"/>
      <w:sz w:val="24"/>
      <w:szCs w:val="24"/>
      <w:lang w:val="en-GB" w:eastAsia="fr-FR"/>
    </w:rPr>
  </w:style>
  <w:style w:type="paragraph" w:customStyle="1" w:styleId="xl85">
    <w:name w:val="xl85"/>
    <w:basedOn w:val="Normal"/>
    <w:uiPriority w:val="99"/>
    <w:rsid w:val="009B1759"/>
    <w:pPr>
      <w:spacing w:before="100" w:beforeAutospacing="1" w:after="100" w:afterAutospacing="1" w:line="240" w:lineRule="auto"/>
    </w:pPr>
    <w:rPr>
      <w:rFonts w:ascii="Times New Roman" w:eastAsia="Times New Roman" w:hAnsi="Times New Roman" w:cs="Times New Roman"/>
      <w:sz w:val="24"/>
      <w:szCs w:val="24"/>
      <w:lang w:val="en-GB" w:eastAsia="fr-FR"/>
    </w:rPr>
  </w:style>
  <w:style w:type="paragraph" w:customStyle="1" w:styleId="xl86">
    <w:name w:val="xl86"/>
    <w:basedOn w:val="Normal"/>
    <w:uiPriority w:val="99"/>
    <w:rsid w:val="009B17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GB" w:eastAsia="fr-FR"/>
    </w:rPr>
  </w:style>
  <w:style w:type="paragraph" w:customStyle="1" w:styleId="xl87">
    <w:name w:val="xl87"/>
    <w:basedOn w:val="Normal"/>
    <w:uiPriority w:val="99"/>
    <w:rsid w:val="009B175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sz w:val="28"/>
      <w:szCs w:val="28"/>
      <w:lang w:val="en-GB" w:eastAsia="fr-FR"/>
    </w:rPr>
  </w:style>
  <w:style w:type="paragraph" w:customStyle="1" w:styleId="xl88">
    <w:name w:val="xl88"/>
    <w:basedOn w:val="Normal"/>
    <w:uiPriority w:val="99"/>
    <w:rsid w:val="009B175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val="en-GB" w:eastAsia="fr-FR"/>
    </w:rPr>
  </w:style>
  <w:style w:type="paragraph" w:customStyle="1" w:styleId="xl89">
    <w:name w:val="xl89"/>
    <w:basedOn w:val="Normal"/>
    <w:uiPriority w:val="99"/>
    <w:rsid w:val="009B175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sz w:val="24"/>
      <w:szCs w:val="24"/>
      <w:lang w:val="en-GB" w:eastAsia="fr-FR"/>
    </w:rPr>
  </w:style>
  <w:style w:type="paragraph" w:customStyle="1" w:styleId="xl90">
    <w:name w:val="xl90"/>
    <w:basedOn w:val="Normal"/>
    <w:uiPriority w:val="99"/>
    <w:rsid w:val="009B17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GB" w:eastAsia="fr-FR"/>
    </w:rPr>
  </w:style>
  <w:style w:type="paragraph" w:customStyle="1" w:styleId="xl91">
    <w:name w:val="xl91"/>
    <w:basedOn w:val="Normal"/>
    <w:uiPriority w:val="99"/>
    <w:rsid w:val="009B1759"/>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cs="Times New Roman"/>
      <w:sz w:val="24"/>
      <w:szCs w:val="24"/>
      <w:lang w:val="en-GB" w:eastAsia="fr-FR"/>
    </w:rPr>
  </w:style>
  <w:style w:type="paragraph" w:customStyle="1" w:styleId="xl92">
    <w:name w:val="xl92"/>
    <w:basedOn w:val="Normal"/>
    <w:uiPriority w:val="99"/>
    <w:rsid w:val="009B17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en-GB" w:eastAsia="fr-FR"/>
    </w:rPr>
  </w:style>
  <w:style w:type="paragraph" w:customStyle="1" w:styleId="xl93">
    <w:name w:val="xl93"/>
    <w:basedOn w:val="Normal"/>
    <w:uiPriority w:val="99"/>
    <w:rsid w:val="009B175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pPr>
    <w:rPr>
      <w:rFonts w:ascii="Times New Roman" w:eastAsia="Times New Roman" w:hAnsi="Times New Roman" w:cs="Times New Roman"/>
      <w:sz w:val="24"/>
      <w:szCs w:val="24"/>
      <w:lang w:val="en-GB" w:eastAsia="fr-FR"/>
    </w:rPr>
  </w:style>
  <w:style w:type="paragraph" w:customStyle="1" w:styleId="xl94">
    <w:name w:val="xl94"/>
    <w:basedOn w:val="Normal"/>
    <w:uiPriority w:val="99"/>
    <w:rsid w:val="009B1759"/>
    <w:pPr>
      <w:pBdr>
        <w:top w:val="single" w:sz="4" w:space="0" w:color="auto"/>
        <w:bottom w:val="single" w:sz="4" w:space="0" w:color="auto"/>
        <w:right w:val="single" w:sz="4" w:space="0" w:color="auto"/>
      </w:pBdr>
      <w:shd w:val="clear" w:color="000000" w:fill="8DB4E2"/>
      <w:spacing w:before="100" w:beforeAutospacing="1" w:after="100" w:afterAutospacing="1" w:line="240" w:lineRule="auto"/>
      <w:jc w:val="center"/>
    </w:pPr>
    <w:rPr>
      <w:rFonts w:ascii="Times New Roman" w:eastAsia="Times New Roman" w:hAnsi="Times New Roman" w:cs="Times New Roman"/>
      <w:sz w:val="24"/>
      <w:szCs w:val="24"/>
      <w:lang w:val="en-GB" w:eastAsia="fr-FR"/>
    </w:rPr>
  </w:style>
  <w:style w:type="paragraph" w:customStyle="1" w:styleId="xl95">
    <w:name w:val="xl95"/>
    <w:basedOn w:val="Normal"/>
    <w:uiPriority w:val="99"/>
    <w:rsid w:val="009B1759"/>
    <w:pPr>
      <w:pBdr>
        <w:top w:val="single" w:sz="4" w:space="0" w:color="auto"/>
        <w:left w:val="single" w:sz="4" w:space="0" w:color="auto"/>
        <w:bottom w:val="single" w:sz="4" w:space="0" w:color="auto"/>
        <w:right w:val="single" w:sz="12" w:space="0" w:color="auto"/>
      </w:pBdr>
      <w:shd w:val="clear" w:color="000000" w:fill="8DB4E2"/>
      <w:spacing w:before="100" w:beforeAutospacing="1" w:after="100" w:afterAutospacing="1" w:line="240" w:lineRule="auto"/>
      <w:jc w:val="center"/>
    </w:pPr>
    <w:rPr>
      <w:rFonts w:ascii="Times New Roman" w:eastAsia="Times New Roman" w:hAnsi="Times New Roman" w:cs="Times New Roman"/>
      <w:sz w:val="24"/>
      <w:szCs w:val="24"/>
      <w:lang w:val="en-GB" w:eastAsia="fr-FR"/>
    </w:rPr>
  </w:style>
  <w:style w:type="paragraph" w:styleId="Rvision">
    <w:name w:val="Revision"/>
    <w:hidden/>
    <w:uiPriority w:val="99"/>
    <w:semiHidden/>
    <w:rsid w:val="009B1759"/>
    <w:pPr>
      <w:spacing w:after="0" w:line="240" w:lineRule="auto"/>
    </w:pPr>
    <w:rPr>
      <w:rFonts w:eastAsiaTheme="minorEastAsia"/>
      <w:sz w:val="20"/>
      <w:szCs w:val="20"/>
      <w:lang w:val="en-GB"/>
    </w:rPr>
  </w:style>
  <w:style w:type="character" w:customStyle="1" w:styleId="Mentionnonrsolue1">
    <w:name w:val="Mention non résolue1"/>
    <w:basedOn w:val="Policepardfaut"/>
    <w:uiPriority w:val="99"/>
    <w:semiHidden/>
    <w:unhideWhenUsed/>
    <w:rsid w:val="00F3414F"/>
    <w:rPr>
      <w:color w:val="808080"/>
      <w:shd w:val="clear" w:color="auto" w:fill="E6E6E6"/>
    </w:rPr>
  </w:style>
  <w:style w:type="character" w:customStyle="1" w:styleId="Mentionnonrsolue2">
    <w:name w:val="Mention non résolue2"/>
    <w:basedOn w:val="Policepardfaut"/>
    <w:uiPriority w:val="99"/>
    <w:semiHidden/>
    <w:unhideWhenUsed/>
    <w:rsid w:val="005761D2"/>
    <w:rPr>
      <w:color w:val="808080"/>
      <w:shd w:val="clear" w:color="auto" w:fill="E6E6E6"/>
    </w:rPr>
  </w:style>
  <w:style w:type="paragraph" w:styleId="Textebrut">
    <w:name w:val="Plain Text"/>
    <w:basedOn w:val="Normal"/>
    <w:link w:val="TextebrutCar"/>
    <w:uiPriority w:val="99"/>
    <w:semiHidden/>
    <w:unhideWhenUsed/>
    <w:rsid w:val="00D65E53"/>
    <w:pPr>
      <w:spacing w:after="0" w:line="240" w:lineRule="auto"/>
    </w:pPr>
    <w:rPr>
      <w:rFonts w:ascii="Calibri" w:hAnsi="Calibri" w:cs="Consolas"/>
      <w:szCs w:val="21"/>
    </w:rPr>
  </w:style>
  <w:style w:type="character" w:customStyle="1" w:styleId="TextebrutCar">
    <w:name w:val="Texte brut Car"/>
    <w:basedOn w:val="Policepardfaut"/>
    <w:link w:val="Textebrut"/>
    <w:uiPriority w:val="99"/>
    <w:semiHidden/>
    <w:rsid w:val="00D65E53"/>
    <w:rPr>
      <w:rFonts w:ascii="Calibri" w:hAnsi="Calibri" w:cs="Consolas"/>
      <w:szCs w:val="21"/>
    </w:rPr>
  </w:style>
  <w:style w:type="character" w:customStyle="1" w:styleId="Mentionnonrsolue3">
    <w:name w:val="Mention non résolue3"/>
    <w:basedOn w:val="Policepardfaut"/>
    <w:uiPriority w:val="99"/>
    <w:semiHidden/>
    <w:unhideWhenUsed/>
    <w:rsid w:val="00E1492C"/>
    <w:rPr>
      <w:color w:val="808080"/>
      <w:shd w:val="clear" w:color="auto" w:fill="E6E6E6"/>
    </w:rPr>
  </w:style>
  <w:style w:type="character" w:customStyle="1" w:styleId="Mentionnonrsolue4">
    <w:name w:val="Mention non résolue4"/>
    <w:basedOn w:val="Policepardfaut"/>
    <w:uiPriority w:val="99"/>
    <w:semiHidden/>
    <w:unhideWhenUsed/>
    <w:rsid w:val="008C1EB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34460">
      <w:bodyDiv w:val="1"/>
      <w:marLeft w:val="0"/>
      <w:marRight w:val="0"/>
      <w:marTop w:val="0"/>
      <w:marBottom w:val="0"/>
      <w:divBdr>
        <w:top w:val="none" w:sz="0" w:space="0" w:color="auto"/>
        <w:left w:val="none" w:sz="0" w:space="0" w:color="auto"/>
        <w:bottom w:val="none" w:sz="0" w:space="0" w:color="auto"/>
        <w:right w:val="none" w:sz="0" w:space="0" w:color="auto"/>
      </w:divBdr>
    </w:div>
    <w:div w:id="166940760">
      <w:bodyDiv w:val="1"/>
      <w:marLeft w:val="0"/>
      <w:marRight w:val="0"/>
      <w:marTop w:val="0"/>
      <w:marBottom w:val="0"/>
      <w:divBdr>
        <w:top w:val="none" w:sz="0" w:space="0" w:color="auto"/>
        <w:left w:val="none" w:sz="0" w:space="0" w:color="auto"/>
        <w:bottom w:val="none" w:sz="0" w:space="0" w:color="auto"/>
        <w:right w:val="none" w:sz="0" w:space="0" w:color="auto"/>
      </w:divBdr>
    </w:div>
    <w:div w:id="214244060">
      <w:bodyDiv w:val="1"/>
      <w:marLeft w:val="0"/>
      <w:marRight w:val="0"/>
      <w:marTop w:val="0"/>
      <w:marBottom w:val="0"/>
      <w:divBdr>
        <w:top w:val="none" w:sz="0" w:space="0" w:color="auto"/>
        <w:left w:val="none" w:sz="0" w:space="0" w:color="auto"/>
        <w:bottom w:val="none" w:sz="0" w:space="0" w:color="auto"/>
        <w:right w:val="none" w:sz="0" w:space="0" w:color="auto"/>
      </w:divBdr>
    </w:div>
    <w:div w:id="226495692">
      <w:bodyDiv w:val="1"/>
      <w:marLeft w:val="0"/>
      <w:marRight w:val="0"/>
      <w:marTop w:val="0"/>
      <w:marBottom w:val="0"/>
      <w:divBdr>
        <w:top w:val="none" w:sz="0" w:space="0" w:color="auto"/>
        <w:left w:val="none" w:sz="0" w:space="0" w:color="auto"/>
        <w:bottom w:val="none" w:sz="0" w:space="0" w:color="auto"/>
        <w:right w:val="none" w:sz="0" w:space="0" w:color="auto"/>
      </w:divBdr>
    </w:div>
    <w:div w:id="278803498">
      <w:bodyDiv w:val="1"/>
      <w:marLeft w:val="0"/>
      <w:marRight w:val="0"/>
      <w:marTop w:val="0"/>
      <w:marBottom w:val="0"/>
      <w:divBdr>
        <w:top w:val="none" w:sz="0" w:space="0" w:color="auto"/>
        <w:left w:val="none" w:sz="0" w:space="0" w:color="auto"/>
        <w:bottom w:val="none" w:sz="0" w:space="0" w:color="auto"/>
        <w:right w:val="none" w:sz="0" w:space="0" w:color="auto"/>
      </w:divBdr>
    </w:div>
    <w:div w:id="483396807">
      <w:bodyDiv w:val="1"/>
      <w:marLeft w:val="0"/>
      <w:marRight w:val="0"/>
      <w:marTop w:val="0"/>
      <w:marBottom w:val="0"/>
      <w:divBdr>
        <w:top w:val="none" w:sz="0" w:space="0" w:color="auto"/>
        <w:left w:val="none" w:sz="0" w:space="0" w:color="auto"/>
        <w:bottom w:val="none" w:sz="0" w:space="0" w:color="auto"/>
        <w:right w:val="none" w:sz="0" w:space="0" w:color="auto"/>
      </w:divBdr>
    </w:div>
    <w:div w:id="514345225">
      <w:bodyDiv w:val="1"/>
      <w:marLeft w:val="0"/>
      <w:marRight w:val="0"/>
      <w:marTop w:val="0"/>
      <w:marBottom w:val="0"/>
      <w:divBdr>
        <w:top w:val="none" w:sz="0" w:space="0" w:color="auto"/>
        <w:left w:val="none" w:sz="0" w:space="0" w:color="auto"/>
        <w:bottom w:val="none" w:sz="0" w:space="0" w:color="auto"/>
        <w:right w:val="none" w:sz="0" w:space="0" w:color="auto"/>
      </w:divBdr>
    </w:div>
    <w:div w:id="630786787">
      <w:bodyDiv w:val="1"/>
      <w:marLeft w:val="0"/>
      <w:marRight w:val="0"/>
      <w:marTop w:val="0"/>
      <w:marBottom w:val="0"/>
      <w:divBdr>
        <w:top w:val="none" w:sz="0" w:space="0" w:color="auto"/>
        <w:left w:val="none" w:sz="0" w:space="0" w:color="auto"/>
        <w:bottom w:val="none" w:sz="0" w:space="0" w:color="auto"/>
        <w:right w:val="none" w:sz="0" w:space="0" w:color="auto"/>
      </w:divBdr>
    </w:div>
    <w:div w:id="683556107">
      <w:bodyDiv w:val="1"/>
      <w:marLeft w:val="0"/>
      <w:marRight w:val="0"/>
      <w:marTop w:val="0"/>
      <w:marBottom w:val="0"/>
      <w:divBdr>
        <w:top w:val="none" w:sz="0" w:space="0" w:color="auto"/>
        <w:left w:val="none" w:sz="0" w:space="0" w:color="auto"/>
        <w:bottom w:val="none" w:sz="0" w:space="0" w:color="auto"/>
        <w:right w:val="none" w:sz="0" w:space="0" w:color="auto"/>
      </w:divBdr>
    </w:div>
    <w:div w:id="700713847">
      <w:bodyDiv w:val="1"/>
      <w:marLeft w:val="0"/>
      <w:marRight w:val="0"/>
      <w:marTop w:val="0"/>
      <w:marBottom w:val="0"/>
      <w:divBdr>
        <w:top w:val="none" w:sz="0" w:space="0" w:color="auto"/>
        <w:left w:val="none" w:sz="0" w:space="0" w:color="auto"/>
        <w:bottom w:val="none" w:sz="0" w:space="0" w:color="auto"/>
        <w:right w:val="none" w:sz="0" w:space="0" w:color="auto"/>
      </w:divBdr>
    </w:div>
    <w:div w:id="840849962">
      <w:bodyDiv w:val="1"/>
      <w:marLeft w:val="0"/>
      <w:marRight w:val="0"/>
      <w:marTop w:val="0"/>
      <w:marBottom w:val="0"/>
      <w:divBdr>
        <w:top w:val="none" w:sz="0" w:space="0" w:color="auto"/>
        <w:left w:val="none" w:sz="0" w:space="0" w:color="auto"/>
        <w:bottom w:val="none" w:sz="0" w:space="0" w:color="auto"/>
        <w:right w:val="none" w:sz="0" w:space="0" w:color="auto"/>
      </w:divBdr>
    </w:div>
    <w:div w:id="917250625">
      <w:bodyDiv w:val="1"/>
      <w:marLeft w:val="0"/>
      <w:marRight w:val="0"/>
      <w:marTop w:val="0"/>
      <w:marBottom w:val="0"/>
      <w:divBdr>
        <w:top w:val="none" w:sz="0" w:space="0" w:color="auto"/>
        <w:left w:val="none" w:sz="0" w:space="0" w:color="auto"/>
        <w:bottom w:val="none" w:sz="0" w:space="0" w:color="auto"/>
        <w:right w:val="none" w:sz="0" w:space="0" w:color="auto"/>
      </w:divBdr>
    </w:div>
    <w:div w:id="945187741">
      <w:bodyDiv w:val="1"/>
      <w:marLeft w:val="0"/>
      <w:marRight w:val="0"/>
      <w:marTop w:val="0"/>
      <w:marBottom w:val="0"/>
      <w:divBdr>
        <w:top w:val="none" w:sz="0" w:space="0" w:color="auto"/>
        <w:left w:val="none" w:sz="0" w:space="0" w:color="auto"/>
        <w:bottom w:val="none" w:sz="0" w:space="0" w:color="auto"/>
        <w:right w:val="none" w:sz="0" w:space="0" w:color="auto"/>
      </w:divBdr>
    </w:div>
    <w:div w:id="954755646">
      <w:bodyDiv w:val="1"/>
      <w:marLeft w:val="0"/>
      <w:marRight w:val="0"/>
      <w:marTop w:val="0"/>
      <w:marBottom w:val="0"/>
      <w:divBdr>
        <w:top w:val="none" w:sz="0" w:space="0" w:color="auto"/>
        <w:left w:val="none" w:sz="0" w:space="0" w:color="auto"/>
        <w:bottom w:val="none" w:sz="0" w:space="0" w:color="auto"/>
        <w:right w:val="none" w:sz="0" w:space="0" w:color="auto"/>
      </w:divBdr>
    </w:div>
    <w:div w:id="970792571">
      <w:bodyDiv w:val="1"/>
      <w:marLeft w:val="0"/>
      <w:marRight w:val="0"/>
      <w:marTop w:val="0"/>
      <w:marBottom w:val="0"/>
      <w:divBdr>
        <w:top w:val="none" w:sz="0" w:space="0" w:color="auto"/>
        <w:left w:val="none" w:sz="0" w:space="0" w:color="auto"/>
        <w:bottom w:val="none" w:sz="0" w:space="0" w:color="auto"/>
        <w:right w:val="none" w:sz="0" w:space="0" w:color="auto"/>
      </w:divBdr>
    </w:div>
    <w:div w:id="1030298225">
      <w:bodyDiv w:val="1"/>
      <w:marLeft w:val="0"/>
      <w:marRight w:val="0"/>
      <w:marTop w:val="0"/>
      <w:marBottom w:val="0"/>
      <w:divBdr>
        <w:top w:val="none" w:sz="0" w:space="0" w:color="auto"/>
        <w:left w:val="none" w:sz="0" w:space="0" w:color="auto"/>
        <w:bottom w:val="none" w:sz="0" w:space="0" w:color="auto"/>
        <w:right w:val="none" w:sz="0" w:space="0" w:color="auto"/>
      </w:divBdr>
    </w:div>
    <w:div w:id="1034884751">
      <w:bodyDiv w:val="1"/>
      <w:marLeft w:val="0"/>
      <w:marRight w:val="0"/>
      <w:marTop w:val="0"/>
      <w:marBottom w:val="0"/>
      <w:divBdr>
        <w:top w:val="none" w:sz="0" w:space="0" w:color="auto"/>
        <w:left w:val="none" w:sz="0" w:space="0" w:color="auto"/>
        <w:bottom w:val="none" w:sz="0" w:space="0" w:color="auto"/>
        <w:right w:val="none" w:sz="0" w:space="0" w:color="auto"/>
      </w:divBdr>
    </w:div>
    <w:div w:id="1049040094">
      <w:bodyDiv w:val="1"/>
      <w:marLeft w:val="0"/>
      <w:marRight w:val="0"/>
      <w:marTop w:val="0"/>
      <w:marBottom w:val="0"/>
      <w:divBdr>
        <w:top w:val="none" w:sz="0" w:space="0" w:color="auto"/>
        <w:left w:val="none" w:sz="0" w:space="0" w:color="auto"/>
        <w:bottom w:val="none" w:sz="0" w:space="0" w:color="auto"/>
        <w:right w:val="none" w:sz="0" w:space="0" w:color="auto"/>
      </w:divBdr>
      <w:divsChild>
        <w:div w:id="882399803">
          <w:marLeft w:val="0"/>
          <w:marRight w:val="0"/>
          <w:marTop w:val="0"/>
          <w:marBottom w:val="0"/>
          <w:divBdr>
            <w:top w:val="none" w:sz="0" w:space="0" w:color="auto"/>
            <w:left w:val="none" w:sz="0" w:space="0" w:color="auto"/>
            <w:bottom w:val="none" w:sz="0" w:space="0" w:color="auto"/>
            <w:right w:val="none" w:sz="0" w:space="0" w:color="auto"/>
          </w:divBdr>
        </w:div>
        <w:div w:id="1339310012">
          <w:marLeft w:val="0"/>
          <w:marRight w:val="0"/>
          <w:marTop w:val="0"/>
          <w:marBottom w:val="0"/>
          <w:divBdr>
            <w:top w:val="none" w:sz="0" w:space="0" w:color="auto"/>
            <w:left w:val="none" w:sz="0" w:space="0" w:color="auto"/>
            <w:bottom w:val="none" w:sz="0" w:space="0" w:color="auto"/>
            <w:right w:val="none" w:sz="0" w:space="0" w:color="auto"/>
          </w:divBdr>
        </w:div>
      </w:divsChild>
    </w:div>
    <w:div w:id="1093354544">
      <w:bodyDiv w:val="1"/>
      <w:marLeft w:val="0"/>
      <w:marRight w:val="0"/>
      <w:marTop w:val="0"/>
      <w:marBottom w:val="0"/>
      <w:divBdr>
        <w:top w:val="none" w:sz="0" w:space="0" w:color="auto"/>
        <w:left w:val="none" w:sz="0" w:space="0" w:color="auto"/>
        <w:bottom w:val="none" w:sz="0" w:space="0" w:color="auto"/>
        <w:right w:val="none" w:sz="0" w:space="0" w:color="auto"/>
      </w:divBdr>
    </w:div>
    <w:div w:id="1141459567">
      <w:bodyDiv w:val="1"/>
      <w:marLeft w:val="0"/>
      <w:marRight w:val="0"/>
      <w:marTop w:val="0"/>
      <w:marBottom w:val="0"/>
      <w:divBdr>
        <w:top w:val="none" w:sz="0" w:space="0" w:color="auto"/>
        <w:left w:val="none" w:sz="0" w:space="0" w:color="auto"/>
        <w:bottom w:val="none" w:sz="0" w:space="0" w:color="auto"/>
        <w:right w:val="none" w:sz="0" w:space="0" w:color="auto"/>
      </w:divBdr>
    </w:div>
    <w:div w:id="1261255373">
      <w:bodyDiv w:val="1"/>
      <w:marLeft w:val="0"/>
      <w:marRight w:val="0"/>
      <w:marTop w:val="0"/>
      <w:marBottom w:val="0"/>
      <w:divBdr>
        <w:top w:val="none" w:sz="0" w:space="0" w:color="auto"/>
        <w:left w:val="none" w:sz="0" w:space="0" w:color="auto"/>
        <w:bottom w:val="none" w:sz="0" w:space="0" w:color="auto"/>
        <w:right w:val="none" w:sz="0" w:space="0" w:color="auto"/>
      </w:divBdr>
    </w:div>
    <w:div w:id="1349867764">
      <w:bodyDiv w:val="1"/>
      <w:marLeft w:val="0"/>
      <w:marRight w:val="0"/>
      <w:marTop w:val="0"/>
      <w:marBottom w:val="0"/>
      <w:divBdr>
        <w:top w:val="none" w:sz="0" w:space="0" w:color="auto"/>
        <w:left w:val="none" w:sz="0" w:space="0" w:color="auto"/>
        <w:bottom w:val="none" w:sz="0" w:space="0" w:color="auto"/>
        <w:right w:val="none" w:sz="0" w:space="0" w:color="auto"/>
      </w:divBdr>
    </w:div>
    <w:div w:id="1395395143">
      <w:bodyDiv w:val="1"/>
      <w:marLeft w:val="0"/>
      <w:marRight w:val="0"/>
      <w:marTop w:val="0"/>
      <w:marBottom w:val="0"/>
      <w:divBdr>
        <w:top w:val="none" w:sz="0" w:space="0" w:color="auto"/>
        <w:left w:val="none" w:sz="0" w:space="0" w:color="auto"/>
        <w:bottom w:val="none" w:sz="0" w:space="0" w:color="auto"/>
        <w:right w:val="none" w:sz="0" w:space="0" w:color="auto"/>
      </w:divBdr>
    </w:div>
    <w:div w:id="1415126830">
      <w:bodyDiv w:val="1"/>
      <w:marLeft w:val="0"/>
      <w:marRight w:val="0"/>
      <w:marTop w:val="0"/>
      <w:marBottom w:val="0"/>
      <w:divBdr>
        <w:top w:val="none" w:sz="0" w:space="0" w:color="auto"/>
        <w:left w:val="none" w:sz="0" w:space="0" w:color="auto"/>
        <w:bottom w:val="none" w:sz="0" w:space="0" w:color="auto"/>
        <w:right w:val="none" w:sz="0" w:space="0" w:color="auto"/>
      </w:divBdr>
    </w:div>
    <w:div w:id="1679230604">
      <w:bodyDiv w:val="1"/>
      <w:marLeft w:val="0"/>
      <w:marRight w:val="0"/>
      <w:marTop w:val="0"/>
      <w:marBottom w:val="0"/>
      <w:divBdr>
        <w:top w:val="none" w:sz="0" w:space="0" w:color="auto"/>
        <w:left w:val="none" w:sz="0" w:space="0" w:color="auto"/>
        <w:bottom w:val="none" w:sz="0" w:space="0" w:color="auto"/>
        <w:right w:val="none" w:sz="0" w:space="0" w:color="auto"/>
      </w:divBdr>
    </w:div>
    <w:div w:id="1698195913">
      <w:bodyDiv w:val="1"/>
      <w:marLeft w:val="0"/>
      <w:marRight w:val="0"/>
      <w:marTop w:val="0"/>
      <w:marBottom w:val="0"/>
      <w:divBdr>
        <w:top w:val="none" w:sz="0" w:space="0" w:color="auto"/>
        <w:left w:val="none" w:sz="0" w:space="0" w:color="auto"/>
        <w:bottom w:val="none" w:sz="0" w:space="0" w:color="auto"/>
        <w:right w:val="none" w:sz="0" w:space="0" w:color="auto"/>
      </w:divBdr>
    </w:div>
    <w:div w:id="1873616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ni.tn/index.php/fr/open-data" TargetMode="External"/><Relationship Id="rId21" Type="http://schemas.openxmlformats.org/officeDocument/2006/relationships/hyperlink" Target="http://www.legislation.tn/sites/default/files/fraction-journal-officiel/2016/2016F/026/Tf2016221.pdf" TargetMode="External"/><Relationship Id="rId42" Type="http://schemas.openxmlformats.org/officeDocument/2006/relationships/footer" Target="footer4.xml"/><Relationship Id="rId47" Type="http://schemas.openxmlformats.org/officeDocument/2006/relationships/hyperlink" Target="http://fr.data.gov.tn/" TargetMode="External"/><Relationship Id="rId63" Type="http://schemas.openxmlformats.org/officeDocument/2006/relationships/hyperlink" Target="http://opendata.interieur.gov.tn/fr/datas/index/type:1" TargetMode="External"/><Relationship Id="rId68" Type="http://schemas.openxmlformats.org/officeDocument/2006/relationships/hyperlink" Target="http://jurisprudence.e-justice.tn/wwwisis/juris.10/form.htm" TargetMode="External"/><Relationship Id="rId84" Type="http://schemas.openxmlformats.org/officeDocument/2006/relationships/image" Target="media/image17.png"/><Relationship Id="rId89" Type="http://schemas.openxmlformats.org/officeDocument/2006/relationships/image" Target="media/image22.png"/><Relationship Id="rId7" Type="http://schemas.openxmlformats.org/officeDocument/2006/relationships/endnotes" Target="endnotes.xml"/><Relationship Id="rId71" Type="http://schemas.openxmlformats.org/officeDocument/2006/relationships/image" Target="media/image4.png"/><Relationship Id="rId92"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hyperlink" Target="http://www.legislation.tn/sites/default/files/journal-officiel/1999/1999F/Jo03299.pdf" TargetMode="External"/><Relationship Id="rId29" Type="http://schemas.openxmlformats.org/officeDocument/2006/relationships/hyperlink" Target="http://www.legislation.tn/sites/default/files/fraction-journal-officiel/2016/2016F/026/Tf2016221.pdf" TargetMode="External"/><Relationship Id="rId11" Type="http://schemas.openxmlformats.org/officeDocument/2006/relationships/hyperlink" Target="http://www.legislation.tn/sites/default/files/fraction-journal-officiel/2016/2016F/026/Tf2016221.pdf" TargetMode="External"/><Relationship Id="rId24" Type="http://schemas.openxmlformats.org/officeDocument/2006/relationships/hyperlink" Target="http://www.legislation.tn/sites/default/files/fraction-journal-officiel/2016/2016F/026/Tf2016221.pdf" TargetMode="External"/><Relationship Id="rId32" Type="http://schemas.openxmlformats.org/officeDocument/2006/relationships/hyperlink" Target="http://regions.ins.tn/" TargetMode="External"/><Relationship Id="rId37" Type="http://schemas.openxmlformats.org/officeDocument/2006/relationships/footer" Target="footer2.xml"/><Relationship Id="rId40" Type="http://schemas.openxmlformats.org/officeDocument/2006/relationships/header" Target="header4.xml"/><Relationship Id="rId45" Type="http://schemas.openxmlformats.org/officeDocument/2006/relationships/hyperlink" Target="mailto:hajer.jemili@tunisia.gov.tn" TargetMode="External"/><Relationship Id="rId53" Type="http://schemas.openxmlformats.org/officeDocument/2006/relationships/hyperlink" Target="http://www.mizaniatouna.gov.tn/tunisia/template_fr/index.html" TargetMode="External"/><Relationship Id="rId58" Type="http://schemas.openxmlformats.org/officeDocument/2006/relationships/hyperlink" Target="http://www.marchespublics.gov.tn" TargetMode="External"/><Relationship Id="rId66" Type="http://schemas.openxmlformats.org/officeDocument/2006/relationships/hyperlink" Target="http://www.registre-commerce.tn/" TargetMode="External"/><Relationship Id="rId74" Type="http://schemas.openxmlformats.org/officeDocument/2006/relationships/image" Target="media/image7.png"/><Relationship Id="rId79" Type="http://schemas.openxmlformats.org/officeDocument/2006/relationships/image" Target="media/image12.png"/><Relationship Id="rId87" Type="http://schemas.openxmlformats.org/officeDocument/2006/relationships/image" Target="media/image20.png"/><Relationship Id="rId102" Type="http://schemas.openxmlformats.org/officeDocument/2006/relationships/header" Target="header9.xml"/><Relationship Id="rId5" Type="http://schemas.openxmlformats.org/officeDocument/2006/relationships/webSettings" Target="webSettings.xml"/><Relationship Id="rId61" Type="http://schemas.openxmlformats.org/officeDocument/2006/relationships/hyperlink" Target="http://www.cnct.defense.tn/index.php/fr/produits-et-services/produits/item/185-bases-de-donnees" TargetMode="External"/><Relationship Id="rId82" Type="http://schemas.openxmlformats.org/officeDocument/2006/relationships/image" Target="media/image15.png"/><Relationship Id="rId90" Type="http://schemas.openxmlformats.org/officeDocument/2006/relationships/image" Target="media/image23.png"/><Relationship Id="rId95" Type="http://schemas.openxmlformats.org/officeDocument/2006/relationships/image" Target="media/image28.png"/><Relationship Id="rId19" Type="http://schemas.openxmlformats.org/officeDocument/2006/relationships/hyperlink" Target="http://www.legislation.tn/sites/default/files/fraction-journal-officiel/2016/2016F/026/Tf2016221.pdf" TargetMode="External"/><Relationship Id="rId14" Type="http://schemas.openxmlformats.org/officeDocument/2006/relationships/hyperlink" Target="https://www.jurisitetunisie.com/tunisie/codes/ce/L2004-0005.htm" TargetMode="External"/><Relationship Id="rId22" Type="http://schemas.openxmlformats.org/officeDocument/2006/relationships/hyperlink" Target="http://www.legislation.tn/sites/default/files/fraction-journal-officiel/2016/2016F/026/Tf2016221.pdf" TargetMode="External"/><Relationship Id="rId27" Type="http://schemas.openxmlformats.org/officeDocument/2006/relationships/hyperlink" Target="http://www.finances.gov.tn/index.php?option=com_content&amp;view=article&amp;id=203:open-data&amp;catid=2:uncategorised&amp;Itemid=578&amp;lang=fr" TargetMode="External"/><Relationship Id="rId30" Type="http://schemas.openxmlformats.org/officeDocument/2006/relationships/hyperlink" Target="http://www.legislation.tn/fr/detailtexte/D%C3%A9cret-loi-num-2011-115-du-02-11-2011-jort-2011-084__2011084001152?shorten=ZP3n" TargetMode="External"/><Relationship Id="rId35" Type="http://schemas.openxmlformats.org/officeDocument/2006/relationships/header" Target="header2.xml"/><Relationship Id="rId43" Type="http://schemas.openxmlformats.org/officeDocument/2006/relationships/header" Target="header6.xml"/><Relationship Id="rId48" Type="http://schemas.openxmlformats.org/officeDocument/2006/relationships/hyperlink" Target="http://catalog.industrie.gov.tn/" TargetMode="External"/><Relationship Id="rId56" Type="http://schemas.openxmlformats.org/officeDocument/2006/relationships/hyperlink" Target="http://www.legislation.tn/fr" TargetMode="External"/><Relationship Id="rId64" Type="http://schemas.openxmlformats.org/officeDocument/2006/relationships/hyperlink" Target="http://www.santetunisie.rns.tn/fr/" TargetMode="External"/><Relationship Id="rId69" Type="http://schemas.openxmlformats.org/officeDocument/2006/relationships/hyperlink" Target="http://www.e-justice.tn/index.php?id=488" TargetMode="External"/><Relationship Id="rId77" Type="http://schemas.openxmlformats.org/officeDocument/2006/relationships/image" Target="media/image10.png"/><Relationship Id="rId100" Type="http://schemas.openxmlformats.org/officeDocument/2006/relationships/header" Target="header8.xml"/><Relationship Id="rId105"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comtrade.ins.tn/" TargetMode="External"/><Relationship Id="rId72" Type="http://schemas.openxmlformats.org/officeDocument/2006/relationships/image" Target="media/image5.png"/><Relationship Id="rId80" Type="http://schemas.openxmlformats.org/officeDocument/2006/relationships/image" Target="media/image13.png"/><Relationship Id="rId85" Type="http://schemas.openxmlformats.org/officeDocument/2006/relationships/image" Target="media/image18.png"/><Relationship Id="rId93" Type="http://schemas.openxmlformats.org/officeDocument/2006/relationships/image" Target="media/image26.png"/><Relationship Id="rId98"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hyperlink" Target="http://www.legislation.tn/fr/detailtexte/D%C3%A9cret-loi-num-2011-116-du-02-11-2011-jort-2011-084__2011084001162?shorten=ZP3n" TargetMode="External"/><Relationship Id="rId17" Type="http://schemas.openxmlformats.org/officeDocument/2006/relationships/hyperlink" Target="http://www.legislation.tn/sites/default/files/journal-officiel/1988/1988F/Jo05288.pdf" TargetMode="External"/><Relationship Id="rId25" Type="http://schemas.openxmlformats.org/officeDocument/2006/relationships/hyperlink" Target="http://www.legislation.tn/sites/default/files/fraction-journal-officiel/2016/2016F/026/Tf2016221.pdf" TargetMode="External"/><Relationship Id="rId33" Type="http://schemas.openxmlformats.org/officeDocument/2006/relationships/hyperlink" Target="http://comtrade.ins.tn/" TargetMode="External"/><Relationship Id="rId38" Type="http://schemas.openxmlformats.org/officeDocument/2006/relationships/header" Target="header3.xml"/><Relationship Id="rId46" Type="http://schemas.openxmlformats.org/officeDocument/2006/relationships/hyperlink" Target="mailto:Thouraya.ezzine@tunisia.gov.tn" TargetMode="External"/><Relationship Id="rId59" Type="http://schemas.openxmlformats.org/officeDocument/2006/relationships/hyperlink" Target="http://www.otc.nat.tn/index.php" TargetMode="External"/><Relationship Id="rId67" Type="http://schemas.openxmlformats.org/officeDocument/2006/relationships/hyperlink" Target="http://www.tunisieindustrie.nat.tn/fr/dbi.asp" TargetMode="External"/><Relationship Id="rId103" Type="http://schemas.openxmlformats.org/officeDocument/2006/relationships/footer" Target="footer7.xml"/><Relationship Id="rId20" Type="http://schemas.openxmlformats.org/officeDocument/2006/relationships/hyperlink" Target="http://www.legislation.tn/sites/default/files/fraction-journal-officiel/2016/2016F/026/Tf2016221.pdf" TargetMode="External"/><Relationship Id="rId41" Type="http://schemas.openxmlformats.org/officeDocument/2006/relationships/header" Target="header5.xml"/><Relationship Id="rId54" Type="http://schemas.openxmlformats.org/officeDocument/2006/relationships/hyperlink" Target="http://www.cnudst.rnrt.tn/wwwisis/jort.06/form.htm" TargetMode="External"/><Relationship Id="rId62" Type="http://schemas.openxmlformats.org/officeDocument/2006/relationships/hyperlink" Target="http://www.openculture.gov.tn/fr/page_donnees" TargetMode="External"/><Relationship Id="rId70" Type="http://schemas.openxmlformats.org/officeDocument/2006/relationships/image" Target="media/image3.png"/><Relationship Id="rId75" Type="http://schemas.openxmlformats.org/officeDocument/2006/relationships/image" Target="media/image8.png"/><Relationship Id="rId83" Type="http://schemas.openxmlformats.org/officeDocument/2006/relationships/image" Target="media/image16.png"/><Relationship Id="rId88" Type="http://schemas.openxmlformats.org/officeDocument/2006/relationships/image" Target="media/image21.png"/><Relationship Id="rId91" Type="http://schemas.openxmlformats.org/officeDocument/2006/relationships/image" Target="media/image24.png"/><Relationship Id="rId96"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wb461975\AppData\Local\Microsoft\Windows\INetCache\Content.Outlook\5GE0X9A6\loi%20organique%20n&#176;%202004-63%20du%2027%20juillet%202004,%20portant%20sur%20la%20protection%20des%20donn&#233;es%20&#224;%20caract&#232;re%20personne" TargetMode="External"/><Relationship Id="rId23" Type="http://schemas.openxmlformats.org/officeDocument/2006/relationships/hyperlink" Target="http://www.legislation.tn/sites/default/files/fraction-journal-officiel/2016/2016F/026/Tf2016221.pdf" TargetMode="External"/><Relationship Id="rId28" Type="http://schemas.openxmlformats.org/officeDocument/2006/relationships/hyperlink" Target="http://www.legislation.tn/sites/default/files/journal-officiel/1988/1988F/Jo05288.pdf" TargetMode="External"/><Relationship Id="rId36" Type="http://schemas.openxmlformats.org/officeDocument/2006/relationships/footer" Target="footer1.xml"/><Relationship Id="rId49" Type="http://schemas.openxmlformats.org/officeDocument/2006/relationships/hyperlink" Target="http://dataportal.ins.tn/" TargetMode="External"/><Relationship Id="rId57" Type="http://schemas.openxmlformats.org/officeDocument/2006/relationships/hyperlink" Target="https://www.tuneps.tn/index.do" TargetMode="External"/><Relationship Id="rId10" Type="http://schemas.openxmlformats.org/officeDocument/2006/relationships/hyperlink" Target="http://legislation-securite.tn/node/55296?secondlanguage=ar&amp;op=OK&amp;form_build_id=form-b3b935d4158d2ae598b68b531f3c15c7&amp;form_id=dcaf_multilanguage_form_render" TargetMode="External"/><Relationship Id="rId31" Type="http://schemas.openxmlformats.org/officeDocument/2006/relationships/hyperlink" Target="http://dataportal.ins.tn/" TargetMode="External"/><Relationship Id="rId44" Type="http://schemas.openxmlformats.org/officeDocument/2006/relationships/footer" Target="footer5.xml"/><Relationship Id="rId52" Type="http://schemas.openxmlformats.org/officeDocument/2006/relationships/hyperlink" Target="http://nada.ins.tn/index.php/Accueil" TargetMode="External"/><Relationship Id="rId60" Type="http://schemas.openxmlformats.org/officeDocument/2006/relationships/hyperlink" Target="http://www.cpf.gov.tn/cpfsite/Francais/Accueil.asp" TargetMode="External"/><Relationship Id="rId65" Type="http://schemas.openxmlformats.org/officeDocument/2006/relationships/hyperlink" Target="http://www.isie.tn" TargetMode="External"/><Relationship Id="rId73" Type="http://schemas.openxmlformats.org/officeDocument/2006/relationships/image" Target="media/image6.png"/><Relationship Id="rId78" Type="http://schemas.openxmlformats.org/officeDocument/2006/relationships/image" Target="media/image11.png"/><Relationship Id="rId81" Type="http://schemas.openxmlformats.org/officeDocument/2006/relationships/image" Target="media/image14.png"/><Relationship Id="rId86" Type="http://schemas.openxmlformats.org/officeDocument/2006/relationships/image" Target="media/image19.png"/><Relationship Id="rId94" Type="http://schemas.openxmlformats.org/officeDocument/2006/relationships/image" Target="media/image27.png"/><Relationship Id="rId99" Type="http://schemas.openxmlformats.org/officeDocument/2006/relationships/header" Target="header7.xml"/><Relationship Id="rId10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legislation.tn/fr/detailtexte/D%C3%A9cret-loi-num-2011-115-du-02-11-2011-jort-2011-084__2011084001152?shorten=ZP3n" TargetMode="External"/><Relationship Id="rId18" Type="http://schemas.openxmlformats.org/officeDocument/2006/relationships/hyperlink" Target="file:///C:\Users\wb461975\AppData\Local\Microsoft\Windows\INetCache\Content.Outlook\5GE0X9A6\loi%20organique%20n&#176;%202004-63%20du%2027%20juillet%202004,%20portant%20sur%20la%20protection%20des%20donn&#233;es%20&#224;%20caract&#232;re%20personne" TargetMode="External"/><Relationship Id="rId39" Type="http://schemas.openxmlformats.org/officeDocument/2006/relationships/footer" Target="footer3.xml"/><Relationship Id="rId34" Type="http://schemas.openxmlformats.org/officeDocument/2006/relationships/header" Target="header1.xml"/><Relationship Id="rId50" Type="http://schemas.openxmlformats.org/officeDocument/2006/relationships/hyperlink" Target="http://regions.ins.tn/" TargetMode="External"/><Relationship Id="rId55" Type="http://schemas.openxmlformats.org/officeDocument/2006/relationships/hyperlink" Target="http://www.iort.gov.tn" TargetMode="External"/><Relationship Id="rId76" Type="http://schemas.openxmlformats.org/officeDocument/2006/relationships/image" Target="media/image9.png"/><Relationship Id="rId97" Type="http://schemas.openxmlformats.org/officeDocument/2006/relationships/image" Target="media/image30.png"/><Relationship Id="rId104" Type="http://schemas.openxmlformats.org/officeDocument/2006/relationships/fontTable" Target="fontTable.xml"/></Relationships>
</file>

<file path=word/_rels/footnotes.xml.rels><?xml version="1.0" encoding="UTF-8" standalone="yes"?>
<Relationships xmlns="http://schemas.openxmlformats.org/package/2006/relationships"><Relationship Id="rId26" Type="http://schemas.openxmlformats.org/officeDocument/2006/relationships/hyperlink" Target="http://clibre.tn/2015/02/open-data-day-2015/" TargetMode="External"/><Relationship Id="rId117" Type="http://schemas.openxmlformats.org/officeDocument/2006/relationships/hyperlink" Target="http://opendatabarometer.org/" TargetMode="External"/><Relationship Id="rId21" Type="http://schemas.openxmlformats.org/officeDocument/2006/relationships/hyperlink" Target="https://eiti.org/fr/news/tunisie-sengage-envers-transparence-ressources" TargetMode="External"/><Relationship Id="rId42" Type="http://schemas.openxmlformats.org/officeDocument/2006/relationships/hyperlink" Target="https://fr.wikipedia.org/wiki/Licence_CC0" TargetMode="External"/><Relationship Id="rId47" Type="http://schemas.openxmlformats.org/officeDocument/2006/relationships/hyperlink" Target="https://www.facebook.com/pg/Presidencedugouvernementtunisien/about/" TargetMode="External"/><Relationship Id="rId63" Type="http://schemas.openxmlformats.org/officeDocument/2006/relationships/hyperlink" Target="https://okfn.org/about/" TargetMode="External"/><Relationship Id="rId68" Type="http://schemas.openxmlformats.org/officeDocument/2006/relationships/hyperlink" Target="http://webradar.me/" TargetMode="External"/><Relationship Id="rId84" Type="http://schemas.openxmlformats.org/officeDocument/2006/relationships/hyperlink" Target="https://www.oecd.org/gov/digital-government/open-government-data-seminar-tunisia-2016.PDF" TargetMode="External"/><Relationship Id="rId89" Type="http://schemas.openxmlformats.org/officeDocument/2006/relationships/hyperlink" Target="http://www.finances.gov.tn/images/Loi2017_8.pdf" TargetMode="External"/><Relationship Id="rId112" Type="http://schemas.openxmlformats.org/officeDocument/2006/relationships/hyperlink" Target="http://www.dlab.or.tz/" TargetMode="External"/><Relationship Id="rId133" Type="http://schemas.openxmlformats.org/officeDocument/2006/relationships/hyperlink" Target="https://www.w3.org/TR/vocab-dcat/" TargetMode="External"/><Relationship Id="rId138" Type="http://schemas.openxmlformats.org/officeDocument/2006/relationships/hyperlink" Target="http://www.codeforafrica.org/" TargetMode="External"/><Relationship Id="rId16" Type="http://schemas.openxmlformats.org/officeDocument/2006/relationships/hyperlink" Target="http://www.ins.nat.tn/" TargetMode="External"/><Relationship Id="rId107" Type="http://schemas.openxmlformats.org/officeDocument/2006/relationships/hyperlink" Target="http://www.intt.tn/" TargetMode="External"/><Relationship Id="rId11" Type="http://schemas.openxmlformats.org/officeDocument/2006/relationships/hyperlink" Target="https://www.etalab.gouv.fr/" TargetMode="External"/><Relationship Id="rId32" Type="http://schemas.openxmlformats.org/officeDocument/2006/relationships/hyperlink" Target="http://legislation-securite.tn/node/54900/201220octobre%202016" TargetMode="External"/><Relationship Id="rId37" Type="http://schemas.openxmlformats.org/officeDocument/2006/relationships/hyperlink" Target="http://www.legislation.tn/sites/default/files/fraction-journal-officiel/2011/2011F/039/TF2011412.pdf" TargetMode="External"/><Relationship Id="rId53" Type="http://schemas.openxmlformats.org/officeDocument/2006/relationships/hyperlink" Target="http://villedesayada.tn/fr/OpenData" TargetMode="External"/><Relationship Id="rId58" Type="http://schemas.openxmlformats.org/officeDocument/2006/relationships/hyperlink" Target="http://www.cabrane.com/fr/" TargetMode="External"/><Relationship Id="rId74" Type="http://schemas.openxmlformats.org/officeDocument/2006/relationships/hyperlink" Target="http://www.cabrane.com/fr/" TargetMode="External"/><Relationship Id="rId79" Type="http://schemas.openxmlformats.org/officeDocument/2006/relationships/hyperlink" Target="http://www.cfi.fr/en/news/encounter-open-data-tunisia" TargetMode="External"/><Relationship Id="rId102" Type="http://schemas.openxmlformats.org/officeDocument/2006/relationships/hyperlink" Target="http://www.intt.tn/upload/files/Rapport%20%20trimestriel.pdf" TargetMode="External"/><Relationship Id="rId123" Type="http://schemas.openxmlformats.org/officeDocument/2006/relationships/hyperlink" Target="http://theodi.org/open-data-enshrined-mexico-constitution" TargetMode="External"/><Relationship Id="rId128" Type="http://schemas.openxmlformats.org/officeDocument/2006/relationships/hyperlink" Target="http://ico.org.uk/for_organisations/data_protection/topic_guides/anonymisation" TargetMode="External"/><Relationship Id="rId144" Type="http://schemas.openxmlformats.org/officeDocument/2006/relationships/hyperlink" Target="https://www.etalab.gouv.fr/" TargetMode="External"/><Relationship Id="rId5" Type="http://schemas.openxmlformats.org/officeDocument/2006/relationships/hyperlink" Target="http://www.tunisieindustrie.nat.tn/fr/download/news/2017/smart/11.pdf" TargetMode="External"/><Relationship Id="rId90" Type="http://schemas.openxmlformats.org/officeDocument/2006/relationships/hyperlink" Target="http://www.elgazala.tn/" TargetMode="External"/><Relationship Id="rId95" Type="http://schemas.openxmlformats.org/officeDocument/2006/relationships/hyperlink" Target="http://wikistartup.tn/index.php/who-we-are/" TargetMode="External"/><Relationship Id="rId22" Type="http://schemas.openxmlformats.org/officeDocument/2006/relationships/hyperlink" Target="http://wbi.worldbank.org/boost/fr/country/tunisia" TargetMode="External"/><Relationship Id="rId27" Type="http://schemas.openxmlformats.org/officeDocument/2006/relationships/hyperlink" Target="http://opendatabarometer.org/" TargetMode="External"/><Relationship Id="rId43" Type="http://schemas.openxmlformats.org/officeDocument/2006/relationships/hyperlink" Target="http://www.registre-commerce.tn/search/StaticPage.do?page=tarifs" TargetMode="External"/><Relationship Id="rId48" Type="http://schemas.openxmlformats.org/officeDocument/2006/relationships/hyperlink" Target="http://www.mincom.tn/index.php?id=1751" TargetMode="External"/><Relationship Id="rId64" Type="http://schemas.openxmlformats.org/officeDocument/2006/relationships/hyperlink" Target="https://schoolofdata.org/2016/01/11/data-in-december-sharing-data-journalism-love-in-tunisia/" TargetMode="External"/><Relationship Id="rId69" Type="http://schemas.openxmlformats.org/officeDocument/2006/relationships/hyperlink" Target="https://www.cogite.tn/" TargetMode="External"/><Relationship Id="rId113" Type="http://schemas.openxmlformats.org/officeDocument/2006/relationships/hyperlink" Target="http://labs.webfoundation.org/" TargetMode="External"/><Relationship Id="rId118" Type="http://schemas.openxmlformats.org/officeDocument/2006/relationships/hyperlink" Target="http://index.okfn.org/" TargetMode="External"/><Relationship Id="rId134" Type="http://schemas.openxmlformats.org/officeDocument/2006/relationships/hyperlink" Target="http://www.safe.com/webinar/open-data-portals-9-solutions-and-how-they-compare/" TargetMode="External"/><Relationship Id="rId139" Type="http://schemas.openxmlformats.org/officeDocument/2006/relationships/hyperlink" Target="http://www.code4kenya.org/" TargetMode="External"/><Relationship Id="rId8" Type="http://schemas.openxmlformats.org/officeDocument/2006/relationships/hyperlink" Target="http://fing.org/?Guide-pratique-de-l-ouverture-des" TargetMode="External"/><Relationship Id="rId51" Type="http://schemas.openxmlformats.org/officeDocument/2006/relationships/hyperlink" Target="https://eiti.org/fr/news/tunisie-sengage-envers-transparence-ressources" TargetMode="External"/><Relationship Id="rId72" Type="http://schemas.openxmlformats.org/officeDocument/2006/relationships/hyperlink" Target="http://www.iotunisia.com/smart-agriculture-hackathon-2017/" TargetMode="External"/><Relationship Id="rId80" Type="http://schemas.openxmlformats.org/officeDocument/2006/relationships/hyperlink" Target="https://freedomhouse.org/report/freedom-press/2016/tunisia" TargetMode="External"/><Relationship Id="rId85" Type="http://schemas.openxmlformats.org/officeDocument/2006/relationships/hyperlink" Target="http://www.iace.tn/wp-content/uploads/2017/03/RapportInclusionfinanciere032017.pdf" TargetMode="External"/><Relationship Id="rId93" Type="http://schemas.openxmlformats.org/officeDocument/2006/relationships/hyperlink" Target="http://www.cjd-tunisie.org/wp-content/uploads/2017/04/Guide-du-financement_vff.pdf" TargetMode="External"/><Relationship Id="rId98" Type="http://schemas.openxmlformats.org/officeDocument/2006/relationships/hyperlink" Target="http://www.flat6labs.com/locations/" TargetMode="External"/><Relationship Id="rId121" Type="http://schemas.openxmlformats.org/officeDocument/2006/relationships/hyperlink" Target="https://www.etalab.gouv.fr/en/licence-ouverte-open-licence" TargetMode="External"/><Relationship Id="rId142" Type="http://schemas.openxmlformats.org/officeDocument/2006/relationships/hyperlink" Target="http://labs.webfoundation.org/" TargetMode="External"/><Relationship Id="rId3" Type="http://schemas.openxmlformats.org/officeDocument/2006/relationships/hyperlink" Target="https://www.opengovpartnership.org/sites/default/files/Tunisia_National-Action-Plan-2_2016-2018_ENG.docx" TargetMode="External"/><Relationship Id="rId12" Type="http://schemas.openxmlformats.org/officeDocument/2006/relationships/hyperlink" Target="http://www.sbc4d.com" TargetMode="External"/><Relationship Id="rId17" Type="http://schemas.openxmlformats.org/officeDocument/2006/relationships/hyperlink" Target="https://www.cia.gov/library/publications/the-world-factbook/geos/ts.html" TargetMode="External"/><Relationship Id="rId25" Type="http://schemas.openxmlformats.org/officeDocument/2006/relationships/hyperlink" Target="http://villedesayada.tn/fr/OpenData" TargetMode="External"/><Relationship Id="rId33" Type="http://schemas.openxmlformats.org/officeDocument/2006/relationships/hyperlink" Target="https://www.privacyinternational.org/node/966" TargetMode="External"/><Relationship Id="rId38" Type="http://schemas.openxmlformats.org/officeDocument/2006/relationships/hyperlink" Target="http://www.legislation.tn/sites/default/files/fraction-journal-officiel/2011/2011F/043/TF2011542.pdf" TargetMode="External"/><Relationship Id="rId46" Type="http://schemas.openxmlformats.org/officeDocument/2006/relationships/hyperlink" Target="http://odin.opendatawatch.com/Report/countryProfile/TUN?appConfigId=3" TargetMode="External"/><Relationship Id="rId59" Type="http://schemas.openxmlformats.org/officeDocument/2006/relationships/hyperlink" Target="http://clibre.tn/" TargetMode="External"/><Relationship Id="rId67" Type="http://schemas.openxmlformats.org/officeDocument/2006/relationships/hyperlink" Target="http://ieee.tn/hackathon/" TargetMode="External"/><Relationship Id="rId103" Type="http://schemas.openxmlformats.org/officeDocument/2006/relationships/hyperlink" Target="https://www.itu.int/en/ITU-D/Statistics/Documents/publications/misr2016/MISR2016-w4.pdf" TargetMode="External"/><Relationship Id="rId108" Type="http://schemas.openxmlformats.org/officeDocument/2006/relationships/hyperlink" Target="http://www.itu.int/net4/ITU-D/idi/2016/" TargetMode="External"/><Relationship Id="rId116" Type="http://schemas.openxmlformats.org/officeDocument/2006/relationships/hyperlink" Target="http://data.worldbank.org/sites/default/files/1/declarations.pdf" TargetMode="External"/><Relationship Id="rId124" Type="http://schemas.openxmlformats.org/officeDocument/2006/relationships/hyperlink" Target="https://www.legifrance.gouv.fr/affichTexte.do?cidTexte=JORFTEXT000034194946&amp;categorieLien=id" TargetMode="External"/><Relationship Id="rId129" Type="http://schemas.openxmlformats.org/officeDocument/2006/relationships/hyperlink" Target="http://www.healthdatainnovation.com/content/useful-tools-review-refine-clean-analyze-visualize-and-publish-data" TargetMode="External"/><Relationship Id="rId137" Type="http://schemas.openxmlformats.org/officeDocument/2006/relationships/hyperlink" Target="http://www.datajournalismhandbook.org/" TargetMode="External"/><Relationship Id="rId20" Type="http://schemas.openxmlformats.org/officeDocument/2006/relationships/hyperlink" Target="https://www.opengovpartnership.org/countries/tunisia" TargetMode="External"/><Relationship Id="rId41" Type="http://schemas.openxmlformats.org/officeDocument/2006/relationships/hyperlink" Target="https://www.article19.org/resources.php/resource/38624/fr/tunisie:-la-circulaire-du-pr%EF%BF%BD%C2%A9sident-du-gouvernement-r%EF%BF%BD%C2%A9gissant-le-travail-des-cellules-d%E2%80%99information-et-de-communications-menace-la-libert%EF%BF%BD%C2%A9-d%E2%80%99expression-et-le-droit-d%E2%80%99acc%EF%BF%BD%C2%A8s-%EF%BF%BD%C2%A0-l%E2%80%99information" TargetMode="External"/><Relationship Id="rId54" Type="http://schemas.openxmlformats.org/officeDocument/2006/relationships/hyperlink" Target="http://www.registre-commerce.tn/search/StaticPage.do?page=tarifs" TargetMode="External"/><Relationship Id="rId62" Type="http://schemas.openxmlformats.org/officeDocument/2006/relationships/hyperlink" Target="http://www.publishwhatyoupay.org/fr/members/tunisie/" TargetMode="External"/><Relationship Id="rId70" Type="http://schemas.openxmlformats.org/officeDocument/2006/relationships/hyperlink" Target="https://www.elspace.org/" TargetMode="External"/><Relationship Id="rId75" Type="http://schemas.openxmlformats.org/officeDocument/2006/relationships/hyperlink" Target="http://budget.marsad.tn/fr/" TargetMode="External"/><Relationship Id="rId83" Type="http://schemas.openxmlformats.org/officeDocument/2006/relationships/hyperlink" Target="http://clibre.tn/2014/02/open-data-day-odd2014/" TargetMode="External"/><Relationship Id="rId88" Type="http://schemas.openxmlformats.org/officeDocument/2006/relationships/hyperlink" Target="https://www.fsvc.org/countries/tunisia/" TargetMode="External"/><Relationship Id="rId91" Type="http://schemas.openxmlformats.org/officeDocument/2006/relationships/hyperlink" Target="http://www.tunisieindustrie.nat.tn/fr/doc.asp?mcat=16&amp;mrub=138" TargetMode="External"/><Relationship Id="rId96" Type="http://schemas.openxmlformats.org/officeDocument/2006/relationships/hyperlink" Target="http://esprit.tn/esprit-incubator/" TargetMode="External"/><Relationship Id="rId111" Type="http://schemas.openxmlformats.org/officeDocument/2006/relationships/hyperlink" Target="http://fing.org/?Guide-pratique-de-l-ouverture-des" TargetMode="External"/><Relationship Id="rId132" Type="http://schemas.openxmlformats.org/officeDocument/2006/relationships/hyperlink" Target="https://fr.wikipedia.org/wiki/Hackathon" TargetMode="External"/><Relationship Id="rId140" Type="http://schemas.openxmlformats.org/officeDocument/2006/relationships/hyperlink" Target="http://mlab.co.ke/" TargetMode="External"/><Relationship Id="rId1" Type="http://schemas.openxmlformats.org/officeDocument/2006/relationships/hyperlink" Target="http://data.worldbank.org/about/open-government-data-toolkit/readiness-assessment-tool" TargetMode="External"/><Relationship Id="rId6" Type="http://schemas.openxmlformats.org/officeDocument/2006/relationships/hyperlink" Target="http://www.legislation.tn/detailtexte/D%C3%A9cret-num-2013-1299-du-26-02-2013-jort-2013-020__2013020012993?shorten=4DiR" TargetMode="External"/><Relationship Id="rId15" Type="http://schemas.openxmlformats.org/officeDocument/2006/relationships/hyperlink" Target="https://fr.wikipedia.org/wiki/Tunisie" TargetMode="External"/><Relationship Id="rId23" Type="http://schemas.openxmlformats.org/officeDocument/2006/relationships/hyperlink" Target="http://fr.data.gov.tn/" TargetMode="External"/><Relationship Id="rId28" Type="http://schemas.openxmlformats.org/officeDocument/2006/relationships/hyperlink" Target="http://www.tunisieindustrie.nat.tn/fr/download/news/2017/smart/11.pdf" TargetMode="External"/><Relationship Id="rId36" Type="http://schemas.openxmlformats.org/officeDocument/2006/relationships/hyperlink" Target="http://www.inpdp.nat.tn/textes.xhtml" TargetMode="External"/><Relationship Id="rId49" Type="http://schemas.openxmlformats.org/officeDocument/2006/relationships/hyperlink" Target="http://wbi.worldbank.org/boost/country/tunisia" TargetMode="External"/><Relationship Id="rId57" Type="http://schemas.openxmlformats.org/officeDocument/2006/relationships/hyperlink" Target="http://atcp.org.tn/" TargetMode="External"/><Relationship Id="rId106" Type="http://schemas.openxmlformats.org/officeDocument/2006/relationships/hyperlink" Target="https://www.3s.com.tn/gouvernement-economie-tic-plf2018/" TargetMode="External"/><Relationship Id="rId114" Type="http://schemas.openxmlformats.org/officeDocument/2006/relationships/hyperlink" Target="https://www.etalab.gouv.fr/" TargetMode="External"/><Relationship Id="rId119" Type="http://schemas.openxmlformats.org/officeDocument/2006/relationships/hyperlink" Target="http://www.nationalarchives.gov.uk/information-management/uk-gov-licensing-framework.htm" TargetMode="External"/><Relationship Id="rId127" Type="http://schemas.openxmlformats.org/officeDocument/2006/relationships/hyperlink" Target="http://www.data.gov/developers/blog/primer-machine-readability-online-documents-and-data" TargetMode="External"/><Relationship Id="rId10" Type="http://schemas.openxmlformats.org/officeDocument/2006/relationships/hyperlink" Target="http://labs.webfoundation.org/" TargetMode="External"/><Relationship Id="rId31" Type="http://schemas.openxmlformats.org/officeDocument/2006/relationships/hyperlink" Target="http://www.ogptunisie.gov.tn/index.php?option=com_content&amp;view=featured&amp;Itemid=101" TargetMode="External"/><Relationship Id="rId44" Type="http://schemas.openxmlformats.org/officeDocument/2006/relationships/hyperlink" Target="https://cms.eolas.fr/" TargetMode="External"/><Relationship Id="rId52" Type="http://schemas.openxmlformats.org/officeDocument/2006/relationships/hyperlink" Target="http://catalog.industrie.gov.tn/" TargetMode="External"/><Relationship Id="rId60" Type="http://schemas.openxmlformats.org/officeDocument/2006/relationships/hyperlink" Target="https://www.ma3louma.org/" TargetMode="External"/><Relationship Id="rId65" Type="http://schemas.openxmlformats.org/officeDocument/2006/relationships/hyperlink" Target="http://www.datajournalism.tn/" TargetMode="External"/><Relationship Id="rId73" Type="http://schemas.openxmlformats.org/officeDocument/2006/relationships/hyperlink" Target="http://www.hack4-democracy.com/" TargetMode="External"/><Relationship Id="rId78" Type="http://schemas.openxmlformats.org/officeDocument/2006/relationships/hyperlink" Target="https://inkyfada.com/" TargetMode="External"/><Relationship Id="rId81" Type="http://schemas.openxmlformats.org/officeDocument/2006/relationships/hyperlink" Target="https://rsf.org/en/tunisia" TargetMode="External"/><Relationship Id="rId86" Type="http://schemas.openxmlformats.org/officeDocument/2006/relationships/hyperlink" Target="http://www.leconomistemaghrebin.com/2015/05/04/universite-virtuelle-tunis-uvt-ibm-signent-un-accord-de-partenariat/" TargetMode="External"/><Relationship Id="rId94" Type="http://schemas.openxmlformats.org/officeDocument/2006/relationships/hyperlink" Target="http://www.intt.tn/upload/files/TB2_Tel-Mobile%20-%20Juin%202017.pdf" TargetMode="External"/><Relationship Id="rId99" Type="http://schemas.openxmlformats.org/officeDocument/2006/relationships/hyperlink" Target="http://www.cogite.tn/" TargetMode="External"/><Relationship Id="rId101" Type="http://schemas.openxmlformats.org/officeDocument/2006/relationships/hyperlink" Target="https://innovation.orange.tn/projet/innovation-program" TargetMode="External"/><Relationship Id="rId122" Type="http://schemas.openxmlformats.org/officeDocument/2006/relationships/hyperlink" Target="http://www.dof.gob.mx/nota_detalle.php?codigo=5382838&amp;fecha=20/02/2015" TargetMode="External"/><Relationship Id="rId130" Type="http://schemas.openxmlformats.org/officeDocument/2006/relationships/hyperlink" Target="http://blog.opendata.ac.tz/" TargetMode="External"/><Relationship Id="rId135" Type="http://schemas.openxmlformats.org/officeDocument/2006/relationships/hyperlink" Target="http://knowhow.opendatamonitor.eu/odresearch/open-data-software-and-apis/" TargetMode="External"/><Relationship Id="rId143" Type="http://schemas.openxmlformats.org/officeDocument/2006/relationships/hyperlink" Target="http://www.dlab.or.tz/" TargetMode="External"/><Relationship Id="rId4" Type="http://schemas.openxmlformats.org/officeDocument/2006/relationships/hyperlink" Target="http://www.mehat.gov.tn/fileadmin/user1/doc/SyntheseOpenGov2016.pdf" TargetMode="External"/><Relationship Id="rId9" Type="http://schemas.openxmlformats.org/officeDocument/2006/relationships/hyperlink" Target="http://www.dlab.or.tz/" TargetMode="External"/><Relationship Id="rId13" Type="http://schemas.openxmlformats.org/officeDocument/2006/relationships/hyperlink" Target="http://www.diplomatie.gouv.fr/fr/dossiers-pays/tunisie/presentation-de-la-tunisie/" TargetMode="External"/><Relationship Id="rId18" Type="http://schemas.openxmlformats.org/officeDocument/2006/relationships/hyperlink" Target="http://www.rti-rating.org/view_country/?country_name=Tunisia" TargetMode="External"/><Relationship Id="rId39" Type="http://schemas.openxmlformats.org/officeDocument/2006/relationships/hyperlink" Target="http://www.rti-rating.org/view_country/?country_name=Tunisia" TargetMode="External"/><Relationship Id="rId109" Type="http://schemas.openxmlformats.org/officeDocument/2006/relationships/hyperlink" Target="http://www.legislation.tn/detailtexte/D%C3%A9cret-num-2013-1299-du-26-02-2013-jort-2013-020__2013020012993?shorten=4DiR" TargetMode="External"/><Relationship Id="rId34" Type="http://schemas.openxmlformats.org/officeDocument/2006/relationships/hyperlink" Target="http://www.inpdp.nat.tn/Projet_PDP_2017.pdf" TargetMode="External"/><Relationship Id="rId50" Type="http://schemas.openxmlformats.org/officeDocument/2006/relationships/hyperlink" Target="http://www.mizaniatouna.gov.tn/tunisia/template_fr/index.html" TargetMode="External"/><Relationship Id="rId55" Type="http://schemas.openxmlformats.org/officeDocument/2006/relationships/hyperlink" Target="http://www.albawsala.com/" TargetMode="External"/><Relationship Id="rId76" Type="http://schemas.openxmlformats.org/officeDocument/2006/relationships/hyperlink" Target="https://majles.marsad.tn/2014/fr/" TargetMode="External"/><Relationship Id="rId97" Type="http://schemas.openxmlformats.org/officeDocument/2006/relationships/hyperlink" Target="https://fi.co/about?target=tunis" TargetMode="External"/><Relationship Id="rId104" Type="http://schemas.openxmlformats.org/officeDocument/2006/relationships/hyperlink" Target="https://www.itu.int/en/ITU-D/Statistics/Documents/publications/misr2016/MISR2016-w4.pdf" TargetMode="External"/><Relationship Id="rId120" Type="http://schemas.openxmlformats.org/officeDocument/2006/relationships/hyperlink" Target="http://discovery.ac.uk/files/pdf/Licensing_Open_Data_A_Practical_Guide.pdf" TargetMode="External"/><Relationship Id="rId125" Type="http://schemas.openxmlformats.org/officeDocument/2006/relationships/hyperlink" Target="https://www.youtube.com/watch?v=7BXHv-JGPXQ" TargetMode="External"/><Relationship Id="rId141" Type="http://schemas.openxmlformats.org/officeDocument/2006/relationships/hyperlink" Target="http://www.mobilewebghana.org/" TargetMode="External"/><Relationship Id="rId7" Type="http://schemas.openxmlformats.org/officeDocument/2006/relationships/hyperlink" Target="https://www.europeandataportal.eu/en/providing-data/goldbook" TargetMode="External"/><Relationship Id="rId71" Type="http://schemas.openxmlformats.org/officeDocument/2006/relationships/hyperlink" Target="https://www.facebook.com/events/1672873689406066/" TargetMode="External"/><Relationship Id="rId92" Type="http://schemas.openxmlformats.org/officeDocument/2006/relationships/hyperlink" Target="http://www.legislation.tn/sites/default/files/codes/investissement.pdf" TargetMode="External"/><Relationship Id="rId2" Type="http://schemas.openxmlformats.org/officeDocument/2006/relationships/hyperlink" Target="http://opendatahandbook.org/guide/fr/why-open-data/" TargetMode="External"/><Relationship Id="rId29" Type="http://schemas.openxmlformats.org/officeDocument/2006/relationships/hyperlink" Target="https://www.opengovpartnership.org/sites/default/files/Tunisia_National-Action-Plan-2_2016-2018_ENG.docx" TargetMode="External"/><Relationship Id="rId24" Type="http://schemas.openxmlformats.org/officeDocument/2006/relationships/hyperlink" Target="http://www.gbo.tn/" TargetMode="External"/><Relationship Id="rId40" Type="http://schemas.openxmlformats.org/officeDocument/2006/relationships/hyperlink" Target="http://legislation-securite.tn/node/55161" TargetMode="External"/><Relationship Id="rId45" Type="http://schemas.openxmlformats.org/officeDocument/2006/relationships/hyperlink" Target="http://www.ins.tn/" TargetMode="External"/><Relationship Id="rId66" Type="http://schemas.openxmlformats.org/officeDocument/2006/relationships/hyperlink" Target="https://inkyfada.com/" TargetMode="External"/><Relationship Id="rId87" Type="http://schemas.openxmlformats.org/officeDocument/2006/relationships/hyperlink" Target="http://www.ena.nat.tn/index.php?id=247&amp;L=1" TargetMode="External"/><Relationship Id="rId110" Type="http://schemas.openxmlformats.org/officeDocument/2006/relationships/hyperlink" Target="https://www.europeandataportal.eu/en/providing-data/goldbook" TargetMode="External"/><Relationship Id="rId115" Type="http://schemas.openxmlformats.org/officeDocument/2006/relationships/hyperlink" Target="http://data.worldbank.org/sites/default/files/1/briefing-on-open-data-declarations-generic.doc" TargetMode="External"/><Relationship Id="rId131" Type="http://schemas.openxmlformats.org/officeDocument/2006/relationships/hyperlink" Target="https://www.gov.uk/government/groups/public-sector-transparency-board" TargetMode="External"/><Relationship Id="rId136" Type="http://schemas.openxmlformats.org/officeDocument/2006/relationships/hyperlink" Target="http://data.gov.uk/category/tags/open-data-portal" TargetMode="External"/><Relationship Id="rId61" Type="http://schemas.openxmlformats.org/officeDocument/2006/relationships/hyperlink" Target="http://www.huffpostmaghreb.com/2017/01/04/dechets-poubelles-environ_n_13949880.html" TargetMode="External"/><Relationship Id="rId82" Type="http://schemas.openxmlformats.org/officeDocument/2006/relationships/hyperlink" Target="http://information.tv5monde.com/info/tunisie-ou-est-le-petrole-39003" TargetMode="External"/><Relationship Id="rId19" Type="http://schemas.openxmlformats.org/officeDocument/2006/relationships/hyperlink" Target="https://drive.google.com/file/d/0BzNdbHdyT-Y3dFVVODVWNnFrVzQ/view" TargetMode="External"/><Relationship Id="rId14" Type="http://schemas.openxmlformats.org/officeDocument/2006/relationships/hyperlink" Target="http://data.worldbank.org/country/tunisia" TargetMode="External"/><Relationship Id="rId30" Type="http://schemas.openxmlformats.org/officeDocument/2006/relationships/hyperlink" Target="http://www.opengovpartnership.org/" TargetMode="External"/><Relationship Id="rId35" Type="http://schemas.openxmlformats.org/officeDocument/2006/relationships/hyperlink" Target="http://eur-lex.europa.eu/legal-content/FR/TXT/PDF/?uri=CELEX:32016R0679&amp;from=FR" TargetMode="External"/><Relationship Id="rId56" Type="http://schemas.openxmlformats.org/officeDocument/2006/relationships/hyperlink" Target="https://www.iwatch.tn/" TargetMode="External"/><Relationship Id="rId77" Type="http://schemas.openxmlformats.org/officeDocument/2006/relationships/hyperlink" Target="http://www.tunisieelections.org/result" TargetMode="External"/><Relationship Id="rId100" Type="http://schemas.openxmlformats.org/officeDocument/2006/relationships/hyperlink" Target="https://www.elspace.org/" TargetMode="External"/><Relationship Id="rId105" Type="http://schemas.openxmlformats.org/officeDocument/2006/relationships/hyperlink" Target="http://reports.weforum.org/global-information-technology-report-2016/economies/" TargetMode="External"/><Relationship Id="rId126" Type="http://schemas.openxmlformats.org/officeDocument/2006/relationships/hyperlink" Target="https://theodi.org/case-studies/mexico-case-study-using-data-squads-to-jump-start-government-open-data-publishin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B139A5-3908-44BA-91CD-43D4E5F58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29402</Words>
  <Characters>161716</Characters>
  <Application>Microsoft Office Word</Application>
  <DocSecurity>0</DocSecurity>
  <Lines>1347</Lines>
  <Paragraphs>381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Etat de Préparation de la République Tunisienne en vue d’une initiative d’ouverture des données publiques</Company>
  <LinksUpToDate>false</LinksUpToDate>
  <CharactersWithSpaces>190737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boyera</dc:creator>
  <cp:lastModifiedBy>rim garnaoui</cp:lastModifiedBy>
  <cp:revision>3</cp:revision>
  <cp:lastPrinted>2017-10-25T08:03:00Z</cp:lastPrinted>
  <dcterms:created xsi:type="dcterms:W3CDTF">2017-11-24T12:18:00Z</dcterms:created>
  <dcterms:modified xsi:type="dcterms:W3CDTF">2017-11-24T12:18:00Z</dcterms:modified>
</cp:coreProperties>
</file>