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C1F" w:rsidRPr="00CF591A" w:rsidRDefault="00552C1F" w:rsidP="00552C1F">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color w:val="000000" w:themeColor="text1"/>
          <w:sz w:val="18"/>
          <w:szCs w:val="24"/>
          <w:rtl/>
          <w:lang w:eastAsia="fr-FR"/>
        </w:rPr>
      </w:pPr>
      <w:proofErr w:type="gramStart"/>
      <w:r w:rsidRPr="00CF591A">
        <w:rPr>
          <w:rFonts w:eastAsia="Times New Roman" w:cs="Arabic Transparent"/>
          <w:color w:val="000000" w:themeColor="text1"/>
          <w:sz w:val="18"/>
          <w:szCs w:val="24"/>
          <w:rtl/>
          <w:lang w:eastAsia="fr-FR"/>
        </w:rPr>
        <w:t>الجمهورية</w:t>
      </w:r>
      <w:proofErr w:type="gramEnd"/>
      <w:r w:rsidRPr="00CF591A">
        <w:rPr>
          <w:rFonts w:eastAsia="Times New Roman" w:cs="Arabic Transparent"/>
          <w:color w:val="000000" w:themeColor="text1"/>
          <w:sz w:val="18"/>
          <w:szCs w:val="24"/>
          <w:rtl/>
          <w:lang w:eastAsia="fr-FR"/>
        </w:rPr>
        <w:t xml:space="preserve"> التونسية</w:t>
      </w:r>
    </w:p>
    <w:p w:rsidR="00552C1F" w:rsidRPr="00CF591A" w:rsidRDefault="00552C1F" w:rsidP="00552C1F">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color w:val="000000" w:themeColor="text1"/>
          <w:sz w:val="18"/>
          <w:szCs w:val="24"/>
          <w:rtl/>
          <w:lang w:eastAsia="fr-FR"/>
        </w:rPr>
      </w:pPr>
      <w:proofErr w:type="gramStart"/>
      <w:r w:rsidRPr="00CF591A">
        <w:rPr>
          <w:rFonts w:eastAsia="Times New Roman" w:cs="Arabic Transparent" w:hint="cs"/>
          <w:color w:val="000000" w:themeColor="text1"/>
          <w:sz w:val="18"/>
          <w:szCs w:val="24"/>
          <w:rtl/>
          <w:lang w:eastAsia="fr-FR"/>
        </w:rPr>
        <w:t>رئاسة</w:t>
      </w:r>
      <w:proofErr w:type="gramEnd"/>
      <w:r w:rsidRPr="00CF591A">
        <w:rPr>
          <w:rFonts w:eastAsia="Times New Roman" w:cs="Arabic Transparent" w:hint="cs"/>
          <w:color w:val="000000" w:themeColor="text1"/>
          <w:sz w:val="18"/>
          <w:szCs w:val="24"/>
          <w:rtl/>
          <w:lang w:eastAsia="fr-FR"/>
        </w:rPr>
        <w:t xml:space="preserve"> الحكومة</w:t>
      </w:r>
    </w:p>
    <w:p w:rsidR="00552C1F" w:rsidRPr="00CF591A" w:rsidRDefault="00552C1F" w:rsidP="00552C1F">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color w:val="000000" w:themeColor="text1"/>
          <w:sz w:val="18"/>
          <w:szCs w:val="24"/>
          <w:rtl/>
          <w:lang w:eastAsia="fr-FR"/>
        </w:rPr>
      </w:pPr>
      <w:r w:rsidRPr="00CF591A">
        <w:rPr>
          <w:rFonts w:eastAsia="Times New Roman" w:cs="Arabic Transparent" w:hint="cs"/>
          <w:color w:val="000000" w:themeColor="text1"/>
          <w:sz w:val="18"/>
          <w:szCs w:val="24"/>
          <w:rtl/>
          <w:lang w:eastAsia="fr-FR"/>
        </w:rPr>
        <w:t>--*--</w:t>
      </w:r>
    </w:p>
    <w:p w:rsidR="00552C1F" w:rsidRPr="00CF591A" w:rsidRDefault="00552C1F" w:rsidP="00552C1F">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color w:val="000000" w:themeColor="text1"/>
          <w:sz w:val="18"/>
          <w:szCs w:val="24"/>
          <w:lang w:eastAsia="fr-FR"/>
        </w:rPr>
      </w:pPr>
      <w:proofErr w:type="gramStart"/>
      <w:r w:rsidRPr="00CF591A">
        <w:rPr>
          <w:rFonts w:eastAsia="Times New Roman" w:cs="Arabic Transparent" w:hint="cs"/>
          <w:color w:val="000000" w:themeColor="text1"/>
          <w:sz w:val="18"/>
          <w:szCs w:val="24"/>
          <w:rtl/>
          <w:lang w:eastAsia="fr-FR"/>
        </w:rPr>
        <w:t>مصالح</w:t>
      </w:r>
      <w:proofErr w:type="gramEnd"/>
      <w:r w:rsidR="00163B42">
        <w:rPr>
          <w:rFonts w:eastAsia="Times New Roman" w:cs="Arabic Transparent"/>
          <w:color w:val="000000" w:themeColor="text1"/>
          <w:sz w:val="18"/>
          <w:szCs w:val="24"/>
          <w:lang w:eastAsia="fr-FR"/>
        </w:rPr>
        <w:t xml:space="preserve"> </w:t>
      </w:r>
      <w:r w:rsidRPr="00CF591A">
        <w:rPr>
          <w:rFonts w:eastAsia="Times New Roman" w:cs="Arabic Transparent" w:hint="cs"/>
          <w:color w:val="000000" w:themeColor="text1"/>
          <w:sz w:val="18"/>
          <w:szCs w:val="24"/>
          <w:rtl/>
          <w:lang w:eastAsia="fr-FR" w:bidi="ar-TN"/>
        </w:rPr>
        <w:t>ال</w:t>
      </w:r>
      <w:r w:rsidRPr="00CF591A">
        <w:rPr>
          <w:rFonts w:eastAsia="Times New Roman" w:cs="Arabic Transparent"/>
          <w:color w:val="000000" w:themeColor="text1"/>
          <w:sz w:val="18"/>
          <w:szCs w:val="24"/>
          <w:rtl/>
          <w:lang w:eastAsia="fr-FR"/>
        </w:rPr>
        <w:t>وزير</w:t>
      </w:r>
      <w:r w:rsidRPr="00CF591A">
        <w:rPr>
          <w:rFonts w:eastAsia="Times New Roman" w:cs="Arabic Transparent" w:hint="cs"/>
          <w:color w:val="000000" w:themeColor="text1"/>
          <w:sz w:val="18"/>
          <w:szCs w:val="24"/>
          <w:rtl/>
          <w:lang w:eastAsia="fr-FR"/>
        </w:rPr>
        <w:t>ة</w:t>
      </w:r>
      <w:r w:rsidRPr="00CF591A">
        <w:rPr>
          <w:rFonts w:eastAsia="Times New Roman" w:cs="Arabic Transparent"/>
          <w:color w:val="000000" w:themeColor="text1"/>
          <w:sz w:val="18"/>
          <w:szCs w:val="24"/>
          <w:rtl/>
          <w:lang w:eastAsia="fr-FR"/>
        </w:rPr>
        <w:t xml:space="preserve"> لدى رئيس الحكومة </w:t>
      </w:r>
      <w:r w:rsidRPr="00CF591A">
        <w:rPr>
          <w:rFonts w:eastAsia="Times New Roman" w:cs="Arabic Transparent" w:hint="cs"/>
          <w:color w:val="000000" w:themeColor="text1"/>
          <w:sz w:val="18"/>
          <w:szCs w:val="24"/>
          <w:rtl/>
          <w:lang w:eastAsia="fr-FR"/>
        </w:rPr>
        <w:t>ال</w:t>
      </w:r>
      <w:r w:rsidRPr="00CF591A">
        <w:rPr>
          <w:rFonts w:eastAsia="Times New Roman" w:cs="Arabic Transparent"/>
          <w:color w:val="000000" w:themeColor="text1"/>
          <w:sz w:val="18"/>
          <w:szCs w:val="24"/>
          <w:rtl/>
          <w:lang w:eastAsia="fr-FR"/>
        </w:rPr>
        <w:t>مكلف</w:t>
      </w:r>
      <w:r w:rsidRPr="00CF591A">
        <w:rPr>
          <w:rFonts w:eastAsia="Times New Roman" w:cs="Arabic Transparent" w:hint="cs"/>
          <w:color w:val="000000" w:themeColor="text1"/>
          <w:sz w:val="18"/>
          <w:szCs w:val="24"/>
          <w:rtl/>
          <w:lang w:eastAsia="fr-FR"/>
        </w:rPr>
        <w:t>ة</w:t>
      </w:r>
      <w:r w:rsidRPr="00CF591A">
        <w:rPr>
          <w:rFonts w:eastAsia="Times New Roman" w:cs="Arabic Transparent"/>
          <w:color w:val="000000" w:themeColor="text1"/>
          <w:sz w:val="18"/>
          <w:szCs w:val="24"/>
          <w:rtl/>
          <w:lang w:eastAsia="fr-FR"/>
        </w:rPr>
        <w:t xml:space="preserve"> بالوظيفة العمومية </w:t>
      </w:r>
    </w:p>
    <w:p w:rsidR="00552C1F" w:rsidRPr="00CF591A" w:rsidRDefault="00552C1F" w:rsidP="00552C1F">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color w:val="000000" w:themeColor="text1"/>
          <w:sz w:val="18"/>
          <w:szCs w:val="24"/>
          <w:rtl/>
          <w:lang w:eastAsia="fr-FR"/>
        </w:rPr>
      </w:pPr>
      <w:r w:rsidRPr="00CF591A">
        <w:rPr>
          <w:rFonts w:eastAsia="Times New Roman" w:cs="Arabic Transparent" w:hint="cs"/>
          <w:color w:val="000000" w:themeColor="text1"/>
          <w:sz w:val="18"/>
          <w:szCs w:val="24"/>
          <w:rtl/>
          <w:lang w:eastAsia="fr-FR"/>
        </w:rPr>
        <w:t>--*--</w:t>
      </w:r>
    </w:p>
    <w:p w:rsidR="00552C1F" w:rsidRPr="00CF591A" w:rsidRDefault="00552C1F" w:rsidP="00552C1F">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color w:val="000000" w:themeColor="text1"/>
          <w:rtl/>
          <w:lang w:eastAsia="fr-FR"/>
        </w:rPr>
      </w:pPr>
      <w:proofErr w:type="gramStart"/>
      <w:r w:rsidRPr="00CF591A">
        <w:rPr>
          <w:rFonts w:eastAsia="Times New Roman" w:cs="Arabic Transparent" w:hint="cs"/>
          <w:color w:val="000000" w:themeColor="text1"/>
          <w:rtl/>
          <w:lang w:eastAsia="fr-FR"/>
        </w:rPr>
        <w:t>وحدة</w:t>
      </w:r>
      <w:proofErr w:type="gramEnd"/>
      <w:r w:rsidRPr="00CF591A">
        <w:rPr>
          <w:rFonts w:eastAsia="Times New Roman" w:cs="Arabic Transparent" w:hint="cs"/>
          <w:color w:val="000000" w:themeColor="text1"/>
          <w:rtl/>
          <w:lang w:eastAsia="fr-FR"/>
        </w:rPr>
        <w:t xml:space="preserve"> الإدارة الإلكترونية</w:t>
      </w:r>
    </w:p>
    <w:p w:rsidR="00552C1F" w:rsidRPr="00CF591A" w:rsidRDefault="00552C1F" w:rsidP="00552C1F">
      <w:pPr>
        <w:bidi/>
        <w:ind w:left="-567"/>
        <w:rPr>
          <w:color w:val="000000" w:themeColor="text1"/>
          <w:sz w:val="14"/>
          <w:szCs w:val="14"/>
          <w:rtl/>
          <w:lang w:bidi="ar-TN"/>
        </w:rPr>
      </w:pPr>
    </w:p>
    <w:p w:rsidR="0069429C" w:rsidRPr="0069429C" w:rsidRDefault="0069429C" w:rsidP="0069429C">
      <w:pPr>
        <w:bidi/>
        <w:spacing w:after="160" w:line="259" w:lineRule="auto"/>
        <w:jc w:val="center"/>
        <w:rPr>
          <w:rFonts w:ascii="Arial" w:eastAsia="Calibri" w:hAnsi="Arial" w:cs="Arial"/>
          <w:b/>
          <w:bCs/>
          <w:color w:val="2F5496"/>
          <w:sz w:val="32"/>
          <w:szCs w:val="32"/>
          <w:rtl/>
        </w:rPr>
      </w:pPr>
      <w:r w:rsidRPr="0069429C">
        <w:rPr>
          <w:rFonts w:ascii="Arial" w:eastAsia="Calibri" w:hAnsi="Arial" w:cs="Arial" w:hint="cs"/>
          <w:b/>
          <w:bCs/>
          <w:color w:val="2F5496"/>
          <w:sz w:val="32"/>
          <w:szCs w:val="32"/>
          <w:rtl/>
        </w:rPr>
        <w:t>قائمة أو</w:t>
      </w:r>
      <w:r>
        <w:rPr>
          <w:rFonts w:ascii="Arial" w:eastAsia="Calibri" w:hAnsi="Arial" w:cs="Arial" w:hint="cs"/>
          <w:b/>
          <w:bCs/>
          <w:color w:val="2F5496"/>
          <w:sz w:val="32"/>
          <w:szCs w:val="32"/>
          <w:rtl/>
        </w:rPr>
        <w:t>ّ</w:t>
      </w:r>
      <w:r w:rsidRPr="0069429C">
        <w:rPr>
          <w:rFonts w:ascii="Arial" w:eastAsia="Calibri" w:hAnsi="Arial" w:cs="Arial" w:hint="cs"/>
          <w:b/>
          <w:bCs/>
          <w:color w:val="2F5496"/>
          <w:sz w:val="32"/>
          <w:szCs w:val="32"/>
          <w:rtl/>
        </w:rPr>
        <w:t>لي</w:t>
      </w:r>
      <w:r>
        <w:rPr>
          <w:rFonts w:ascii="Arial" w:eastAsia="Calibri" w:hAnsi="Arial" w:cs="Arial" w:hint="cs"/>
          <w:b/>
          <w:bCs/>
          <w:color w:val="2F5496"/>
          <w:sz w:val="32"/>
          <w:szCs w:val="32"/>
          <w:rtl/>
        </w:rPr>
        <w:t>ّ</w:t>
      </w:r>
      <w:r w:rsidRPr="0069429C">
        <w:rPr>
          <w:rFonts w:ascii="Arial" w:eastAsia="Calibri" w:hAnsi="Arial" w:cs="Arial" w:hint="cs"/>
          <w:b/>
          <w:bCs/>
          <w:color w:val="2F5496"/>
          <w:sz w:val="32"/>
          <w:szCs w:val="32"/>
          <w:rtl/>
        </w:rPr>
        <w:t>ة في المقترحات الممكن إدراجها ضمن الصيغة الأولية لخطة العمل الرابعة</w:t>
      </w:r>
      <w:r w:rsidRPr="0069429C">
        <w:rPr>
          <w:rFonts w:ascii="Arial" w:eastAsia="Calibri" w:hAnsi="Arial" w:cs="Arial" w:hint="cs"/>
          <w:b/>
          <w:bCs/>
          <w:sz w:val="32"/>
          <w:szCs w:val="32"/>
          <w:rtl/>
        </w:rPr>
        <w:t xml:space="preserve"> </w:t>
      </w:r>
      <w:r w:rsidRPr="0069429C">
        <w:rPr>
          <w:rFonts w:ascii="Arial" w:eastAsia="Calibri" w:hAnsi="Arial" w:cs="Arial" w:hint="cs"/>
          <w:b/>
          <w:bCs/>
          <w:color w:val="2F5496"/>
          <w:sz w:val="32"/>
          <w:szCs w:val="32"/>
          <w:rtl/>
        </w:rPr>
        <w:t>لشراكة الحكومة المفتوحة</w:t>
      </w:r>
    </w:p>
    <w:p w:rsidR="0069429C" w:rsidRPr="0069429C" w:rsidRDefault="0069429C" w:rsidP="0069429C">
      <w:pPr>
        <w:bidi/>
        <w:spacing w:after="160" w:line="259" w:lineRule="auto"/>
        <w:jc w:val="center"/>
        <w:rPr>
          <w:rFonts w:ascii="Arial" w:eastAsia="Calibri" w:hAnsi="Arial" w:cs="Arial"/>
          <w:b/>
          <w:bCs/>
          <w:color w:val="2F5496"/>
          <w:sz w:val="32"/>
          <w:szCs w:val="32"/>
          <w:rtl/>
        </w:rPr>
      </w:pPr>
      <w:r w:rsidRPr="0069429C">
        <w:rPr>
          <w:rFonts w:ascii="Arial" w:eastAsia="Calibri" w:hAnsi="Arial" w:cs="Arial" w:hint="cs"/>
          <w:b/>
          <w:bCs/>
          <w:color w:val="2F5496"/>
          <w:sz w:val="32"/>
          <w:szCs w:val="32"/>
          <w:rtl/>
        </w:rPr>
        <w:t>***</w:t>
      </w:r>
    </w:p>
    <w:p w:rsidR="0069429C" w:rsidRPr="0069429C" w:rsidRDefault="0069429C" w:rsidP="0069429C">
      <w:pPr>
        <w:bidi/>
        <w:spacing w:after="160" w:line="259" w:lineRule="auto"/>
        <w:jc w:val="center"/>
        <w:rPr>
          <w:rFonts w:ascii="Arial" w:eastAsia="Calibri" w:hAnsi="Arial" w:cs="Arial"/>
          <w:b/>
          <w:bCs/>
          <w:sz w:val="28"/>
          <w:szCs w:val="28"/>
          <w:rtl/>
        </w:rPr>
      </w:pPr>
      <w:r w:rsidRPr="0069429C">
        <w:rPr>
          <w:rFonts w:ascii="Arial" w:eastAsia="Calibri" w:hAnsi="Arial" w:cs="Arial" w:hint="cs"/>
          <w:b/>
          <w:bCs/>
          <w:color w:val="2F5496"/>
          <w:sz w:val="28"/>
          <w:szCs w:val="28"/>
          <w:rtl/>
        </w:rPr>
        <w:t xml:space="preserve">محور الشفافية </w:t>
      </w:r>
      <w:proofErr w:type="spellStart"/>
      <w:r w:rsidRPr="0069429C">
        <w:rPr>
          <w:rFonts w:ascii="Arial" w:eastAsia="Calibri" w:hAnsi="Arial" w:cs="Arial" w:hint="cs"/>
          <w:b/>
          <w:bCs/>
          <w:color w:val="2F5496"/>
          <w:sz w:val="28"/>
          <w:szCs w:val="28"/>
          <w:rtl/>
        </w:rPr>
        <w:t>وحوكمة</w:t>
      </w:r>
      <w:proofErr w:type="spellEnd"/>
      <w:r w:rsidRPr="0069429C">
        <w:rPr>
          <w:rFonts w:ascii="Arial" w:eastAsia="Calibri" w:hAnsi="Arial" w:cs="Arial" w:hint="cs"/>
          <w:b/>
          <w:bCs/>
          <w:color w:val="2F5496"/>
          <w:sz w:val="28"/>
          <w:szCs w:val="28"/>
          <w:rtl/>
        </w:rPr>
        <w:t xml:space="preserve"> التصرف في الثروات الطبيعية</w:t>
      </w:r>
    </w:p>
    <w:p w:rsidR="0069429C" w:rsidRPr="0069429C" w:rsidRDefault="0069429C" w:rsidP="0069429C">
      <w:pPr>
        <w:bidi/>
        <w:spacing w:after="160" w:line="259" w:lineRule="auto"/>
        <w:rPr>
          <w:rFonts w:ascii="Arial" w:eastAsia="Calibri" w:hAnsi="Arial" w:cs="Arial"/>
          <w:b/>
          <w:bCs/>
          <w:sz w:val="28"/>
          <w:szCs w:val="28"/>
          <w:rtl/>
        </w:rPr>
      </w:pPr>
    </w:p>
    <w:p w:rsidR="004B3140" w:rsidRPr="004B3140" w:rsidRDefault="004B3140" w:rsidP="004B3140">
      <w:pPr>
        <w:bidi/>
        <w:spacing w:after="160" w:line="259" w:lineRule="auto"/>
        <w:rPr>
          <w:rFonts w:ascii="Arial" w:eastAsia="Calibri" w:hAnsi="Arial" w:cs="Arial"/>
          <w:sz w:val="28"/>
          <w:szCs w:val="28"/>
          <w:u w:val="single"/>
          <w:rtl/>
        </w:rPr>
      </w:pPr>
      <w:bookmarkStart w:id="0" w:name="_GoBack"/>
      <w:bookmarkEnd w:id="0"/>
      <w:r w:rsidRPr="004B3140">
        <w:rPr>
          <w:rFonts w:ascii="Arial" w:eastAsia="Calibri" w:hAnsi="Arial" w:cs="Arial"/>
          <w:b/>
          <w:bCs/>
          <w:color w:val="2E74B5"/>
          <w:sz w:val="28"/>
          <w:szCs w:val="28"/>
          <w:u w:val="single"/>
          <w:rtl/>
        </w:rPr>
        <w:t>حق النفاذ إلى المعلومة</w:t>
      </w:r>
    </w:p>
    <w:p w:rsidR="004B3140" w:rsidRPr="004B3140" w:rsidRDefault="004B3140" w:rsidP="004B3140">
      <w:pPr>
        <w:bidi/>
        <w:spacing w:after="160" w:line="259" w:lineRule="auto"/>
        <w:ind w:left="720"/>
        <w:contextualSpacing/>
        <w:jc w:val="both"/>
        <w:rPr>
          <w:rFonts w:ascii="Arial" w:eastAsia="Times New Roman" w:hAnsi="Arial" w:cs="Arial"/>
          <w:color w:val="000000"/>
          <w:sz w:val="28"/>
          <w:szCs w:val="28"/>
          <w:lang w:eastAsia="fr-FR"/>
        </w:rPr>
      </w:pPr>
    </w:p>
    <w:p w:rsidR="004B3140" w:rsidRPr="004B3140" w:rsidRDefault="004B3140" w:rsidP="004B3140">
      <w:pPr>
        <w:numPr>
          <w:ilvl w:val="0"/>
          <w:numId w:val="3"/>
        </w:numPr>
        <w:bidi/>
        <w:spacing w:after="160" w:line="259" w:lineRule="auto"/>
        <w:contextualSpacing/>
        <w:jc w:val="both"/>
        <w:rPr>
          <w:rFonts w:ascii="Arial" w:eastAsia="Times New Roman" w:hAnsi="Arial" w:cs="Arial"/>
          <w:color w:val="000000"/>
          <w:sz w:val="28"/>
          <w:szCs w:val="28"/>
          <w:lang w:eastAsia="fr-FR"/>
        </w:rPr>
      </w:pPr>
      <w:r w:rsidRPr="004B3140">
        <w:rPr>
          <w:rFonts w:ascii="Arial" w:eastAsia="Times New Roman" w:hAnsi="Arial" w:cs="Arial" w:hint="cs"/>
          <w:color w:val="000000"/>
          <w:sz w:val="28"/>
          <w:szCs w:val="28"/>
          <w:rtl/>
          <w:lang w:eastAsia="fr-FR"/>
        </w:rPr>
        <w:t>تكوين فريق عمل تنسيقي مع المجتمع المدني حول مختلف الأنشطة المتعلقة بالنفاد إلى المعلومة،</w:t>
      </w:r>
    </w:p>
    <w:p w:rsidR="004B3140" w:rsidRPr="004B3140" w:rsidRDefault="004B3140" w:rsidP="004B3140">
      <w:pPr>
        <w:bidi/>
        <w:spacing w:after="160" w:line="259" w:lineRule="auto"/>
        <w:ind w:left="720"/>
        <w:contextualSpacing/>
        <w:jc w:val="both"/>
        <w:rPr>
          <w:rFonts w:ascii="Arial" w:eastAsia="Times New Roman" w:hAnsi="Arial" w:cs="Arial"/>
          <w:color w:val="000000"/>
          <w:sz w:val="16"/>
          <w:szCs w:val="16"/>
          <w:lang w:eastAsia="fr-FR"/>
        </w:rPr>
      </w:pPr>
    </w:p>
    <w:p w:rsidR="004B3140" w:rsidRPr="004B3140" w:rsidRDefault="004B3140" w:rsidP="004B3140">
      <w:pPr>
        <w:numPr>
          <w:ilvl w:val="0"/>
          <w:numId w:val="3"/>
        </w:numPr>
        <w:bidi/>
        <w:spacing w:after="160" w:line="259" w:lineRule="auto"/>
        <w:contextualSpacing/>
        <w:jc w:val="both"/>
        <w:rPr>
          <w:rFonts w:ascii="Arial" w:eastAsia="Times New Roman" w:hAnsi="Arial" w:cs="Arial"/>
          <w:color w:val="000000"/>
          <w:sz w:val="28"/>
          <w:szCs w:val="28"/>
          <w:lang w:eastAsia="fr-FR"/>
        </w:rPr>
      </w:pPr>
      <w:r w:rsidRPr="004B3140">
        <w:rPr>
          <w:rFonts w:ascii="Arial" w:eastAsia="Times New Roman" w:hAnsi="Arial" w:cs="Arial" w:hint="cs"/>
          <w:color w:val="000000"/>
          <w:sz w:val="28"/>
          <w:szCs w:val="28"/>
          <w:rtl/>
          <w:lang w:eastAsia="fr-FR"/>
        </w:rPr>
        <w:t>ضبط م</w:t>
      </w:r>
      <w:r w:rsidRPr="004B3140">
        <w:rPr>
          <w:rFonts w:ascii="Arial" w:eastAsia="Times New Roman" w:hAnsi="Arial" w:cs="Arial" w:hint="cs"/>
          <w:color w:val="000000"/>
          <w:sz w:val="28"/>
          <w:szCs w:val="28"/>
          <w:rtl/>
          <w:lang w:eastAsia="fr-FR" w:bidi="ar-TN"/>
        </w:rPr>
        <w:t>ؤ</w:t>
      </w:r>
      <w:proofErr w:type="spellStart"/>
      <w:r w:rsidRPr="004B3140">
        <w:rPr>
          <w:rFonts w:ascii="Arial" w:eastAsia="Times New Roman" w:hAnsi="Arial" w:cs="Arial" w:hint="cs"/>
          <w:color w:val="000000"/>
          <w:sz w:val="28"/>
          <w:szCs w:val="28"/>
          <w:rtl/>
          <w:lang w:eastAsia="fr-FR"/>
        </w:rPr>
        <w:t>شرات</w:t>
      </w:r>
      <w:proofErr w:type="spellEnd"/>
      <w:r w:rsidRPr="004B3140">
        <w:rPr>
          <w:rFonts w:ascii="Arial" w:eastAsia="Times New Roman" w:hAnsi="Arial" w:cs="Arial" w:hint="cs"/>
          <w:color w:val="000000"/>
          <w:sz w:val="28"/>
          <w:szCs w:val="28"/>
          <w:rtl/>
          <w:lang w:eastAsia="fr-FR"/>
        </w:rPr>
        <w:t xml:space="preserve"> مرتبطة بهدف التنمية المستدامة </w:t>
      </w:r>
      <w:r w:rsidRPr="004B3140">
        <w:rPr>
          <w:rFonts w:ascii="Arial" w:eastAsia="Times New Roman" w:hAnsi="Arial" w:cs="Arial"/>
          <w:color w:val="000000"/>
          <w:sz w:val="28"/>
          <w:szCs w:val="28"/>
          <w:lang w:eastAsia="fr-FR"/>
        </w:rPr>
        <w:t>ODD 16</w:t>
      </w:r>
      <w:r w:rsidRPr="004B3140">
        <w:rPr>
          <w:rFonts w:ascii="Arial" w:eastAsia="Times New Roman" w:hAnsi="Arial" w:cs="Arial" w:hint="cs"/>
          <w:color w:val="000000"/>
          <w:sz w:val="28"/>
          <w:szCs w:val="28"/>
          <w:rtl/>
          <w:lang w:eastAsia="fr-FR"/>
        </w:rPr>
        <w:t xml:space="preserve"> </w:t>
      </w:r>
      <w:proofErr w:type="spellStart"/>
      <w:r w:rsidRPr="004B3140">
        <w:rPr>
          <w:rFonts w:ascii="Arial" w:eastAsia="Times New Roman" w:hAnsi="Arial" w:cs="Arial" w:hint="cs"/>
          <w:color w:val="000000"/>
          <w:sz w:val="28"/>
          <w:szCs w:val="28"/>
          <w:rtl/>
          <w:lang w:eastAsia="fr-FR"/>
        </w:rPr>
        <w:t>وإ</w:t>
      </w:r>
      <w:proofErr w:type="spellEnd"/>
      <w:r w:rsidRPr="004B3140">
        <w:rPr>
          <w:rFonts w:ascii="Arial" w:eastAsia="Times New Roman" w:hAnsi="Arial" w:cs="Arial" w:hint="cs"/>
          <w:color w:val="000000"/>
          <w:sz w:val="28"/>
          <w:szCs w:val="28"/>
          <w:rtl/>
          <w:lang w:eastAsia="fr-FR" w:bidi="ar-TN"/>
        </w:rPr>
        <w:t>ع</w:t>
      </w:r>
      <w:r w:rsidRPr="004B3140">
        <w:rPr>
          <w:rFonts w:ascii="Arial" w:eastAsia="Times New Roman" w:hAnsi="Arial" w:cs="Arial" w:hint="cs"/>
          <w:color w:val="000000"/>
          <w:sz w:val="28"/>
          <w:szCs w:val="28"/>
          <w:rtl/>
          <w:lang w:eastAsia="fr-FR"/>
        </w:rPr>
        <w:t>داد تقارير متابعة في الخصوص،</w:t>
      </w:r>
    </w:p>
    <w:p w:rsidR="004B3140" w:rsidRPr="004B3140" w:rsidRDefault="004B3140" w:rsidP="004B3140">
      <w:pPr>
        <w:spacing w:after="160" w:line="259" w:lineRule="auto"/>
        <w:ind w:left="720"/>
        <w:contextualSpacing/>
        <w:rPr>
          <w:rFonts w:ascii="Arial" w:eastAsia="Times New Roman" w:hAnsi="Arial" w:cs="Arial"/>
          <w:color w:val="000000"/>
          <w:sz w:val="16"/>
          <w:szCs w:val="16"/>
          <w:rtl/>
          <w:lang w:eastAsia="fr-FR"/>
        </w:rPr>
      </w:pPr>
    </w:p>
    <w:p w:rsidR="004B3140" w:rsidRPr="004B3140" w:rsidRDefault="004B3140" w:rsidP="004B3140">
      <w:pPr>
        <w:bidi/>
        <w:spacing w:after="160" w:line="259" w:lineRule="auto"/>
        <w:ind w:left="720"/>
        <w:contextualSpacing/>
        <w:jc w:val="both"/>
        <w:rPr>
          <w:rFonts w:ascii="Arial" w:eastAsia="Times New Roman" w:hAnsi="Arial" w:cs="Arial"/>
          <w:color w:val="000000"/>
          <w:sz w:val="16"/>
          <w:szCs w:val="16"/>
          <w:lang w:eastAsia="fr-FR"/>
        </w:rPr>
      </w:pPr>
    </w:p>
    <w:p w:rsidR="004B3140" w:rsidRPr="004B3140" w:rsidRDefault="004B3140" w:rsidP="004B3140">
      <w:pPr>
        <w:numPr>
          <w:ilvl w:val="0"/>
          <w:numId w:val="3"/>
        </w:numPr>
        <w:bidi/>
        <w:spacing w:after="160" w:line="259" w:lineRule="auto"/>
        <w:contextualSpacing/>
        <w:jc w:val="both"/>
        <w:rPr>
          <w:rFonts w:ascii="Arial" w:eastAsia="Times New Roman" w:hAnsi="Arial" w:cs="Arial"/>
          <w:color w:val="000000"/>
          <w:sz w:val="28"/>
          <w:szCs w:val="28"/>
          <w:lang w:eastAsia="fr-FR"/>
        </w:rPr>
      </w:pPr>
      <w:r w:rsidRPr="004B3140">
        <w:rPr>
          <w:rFonts w:ascii="Arial" w:eastAsia="Times New Roman" w:hAnsi="Arial" w:cs="Arial" w:hint="cs"/>
          <w:color w:val="000000"/>
          <w:sz w:val="28"/>
          <w:szCs w:val="28"/>
          <w:rtl/>
          <w:lang w:eastAsia="fr-FR"/>
        </w:rPr>
        <w:t>إصدار النصوص الترتيبية المتعلقة بهيئة النفاذ إلى المعلومة،</w:t>
      </w:r>
    </w:p>
    <w:p w:rsidR="004B3140" w:rsidRPr="004B3140" w:rsidRDefault="004B3140" w:rsidP="004B3140">
      <w:pPr>
        <w:bidi/>
        <w:spacing w:after="160" w:line="259" w:lineRule="auto"/>
        <w:ind w:left="720"/>
        <w:contextualSpacing/>
        <w:jc w:val="both"/>
        <w:rPr>
          <w:rFonts w:ascii="Arial" w:eastAsia="Times New Roman" w:hAnsi="Arial" w:cs="Arial"/>
          <w:color w:val="000000"/>
          <w:sz w:val="16"/>
          <w:szCs w:val="16"/>
          <w:lang w:eastAsia="fr-FR"/>
        </w:rPr>
      </w:pPr>
    </w:p>
    <w:p w:rsidR="004B3140" w:rsidRPr="004B3140" w:rsidRDefault="004B3140" w:rsidP="004B3140">
      <w:pPr>
        <w:numPr>
          <w:ilvl w:val="0"/>
          <w:numId w:val="3"/>
        </w:numPr>
        <w:bidi/>
        <w:spacing w:after="160" w:line="259" w:lineRule="auto"/>
        <w:contextualSpacing/>
        <w:jc w:val="both"/>
        <w:rPr>
          <w:rFonts w:ascii="Arial" w:eastAsia="Times New Roman" w:hAnsi="Arial" w:cs="Arial"/>
          <w:color w:val="000000"/>
          <w:sz w:val="28"/>
          <w:szCs w:val="28"/>
          <w:rtl/>
          <w:lang w:eastAsia="fr-FR"/>
        </w:rPr>
      </w:pPr>
      <w:r w:rsidRPr="004B3140">
        <w:rPr>
          <w:rFonts w:ascii="Arial" w:eastAsia="Times New Roman" w:hAnsi="Arial" w:cs="Arial"/>
          <w:color w:val="000000"/>
          <w:sz w:val="28"/>
          <w:szCs w:val="28"/>
          <w:rtl/>
          <w:lang w:eastAsia="fr-FR"/>
        </w:rPr>
        <w:t xml:space="preserve"> مأسسة وظيفة المكلف النفاذ إلى المعلومة بمختلف الهياكل العمومية وتمكين المكلف بالنفاذ إلى المعلومة بالصلاحيات والامكانيات المادية (ميزانية) والبشرية للاضطلاع</w:t>
      </w:r>
      <w:r w:rsidRPr="004B3140">
        <w:rPr>
          <w:rFonts w:ascii="Arial" w:eastAsia="Times New Roman" w:hAnsi="Arial" w:cs="Arial"/>
          <w:color w:val="000000"/>
          <w:sz w:val="28"/>
          <w:szCs w:val="28"/>
          <w:lang w:eastAsia="fr-FR"/>
        </w:rPr>
        <w:t xml:space="preserve"> </w:t>
      </w:r>
      <w:r w:rsidRPr="004B3140">
        <w:rPr>
          <w:rFonts w:ascii="Arial" w:eastAsia="Times New Roman" w:hAnsi="Arial" w:cs="Arial"/>
          <w:color w:val="000000"/>
          <w:sz w:val="28"/>
          <w:szCs w:val="28"/>
          <w:rtl/>
          <w:lang w:eastAsia="fr-FR"/>
        </w:rPr>
        <w:t>بمهامه كما هو محدد ضمن القانون،</w:t>
      </w:r>
    </w:p>
    <w:p w:rsidR="004B3140" w:rsidRPr="004B3140" w:rsidRDefault="004B3140" w:rsidP="004B3140">
      <w:pPr>
        <w:numPr>
          <w:ilvl w:val="0"/>
          <w:numId w:val="3"/>
        </w:numPr>
        <w:bidi/>
        <w:spacing w:after="0" w:line="240" w:lineRule="auto"/>
        <w:contextualSpacing/>
        <w:jc w:val="both"/>
        <w:rPr>
          <w:rFonts w:ascii="Arial" w:eastAsia="Times New Roman" w:hAnsi="Arial" w:cs="Arial"/>
          <w:color w:val="000000"/>
          <w:sz w:val="28"/>
          <w:szCs w:val="28"/>
          <w:lang w:eastAsia="fr-FR"/>
        </w:rPr>
      </w:pPr>
      <w:r w:rsidRPr="004B3140">
        <w:rPr>
          <w:rFonts w:ascii="Arial" w:eastAsia="Times New Roman" w:hAnsi="Arial" w:cs="Arial"/>
          <w:color w:val="000000"/>
          <w:sz w:val="28"/>
          <w:szCs w:val="28"/>
          <w:rtl/>
          <w:lang w:eastAsia="fr-FR"/>
        </w:rPr>
        <w:t>نشر التقارير الرقابية وفقا لأحكام الأمر الحكومي عدد 375 لسنة 2020 المؤرخ في 29 جوان 2020 والمتعلق بتنظيم عملية نشر تقارير هيئات الرقابة وتقارير المتابعة الصادرة عنها،</w:t>
      </w:r>
    </w:p>
    <w:p w:rsidR="004B3140" w:rsidRPr="004B3140" w:rsidRDefault="004B3140" w:rsidP="004B3140">
      <w:pPr>
        <w:bidi/>
        <w:spacing w:after="0" w:line="240" w:lineRule="auto"/>
        <w:ind w:left="720"/>
        <w:contextualSpacing/>
        <w:jc w:val="both"/>
        <w:rPr>
          <w:rFonts w:ascii="Arial" w:eastAsia="Times New Roman" w:hAnsi="Arial" w:cs="Arial"/>
          <w:color w:val="000000"/>
          <w:sz w:val="28"/>
          <w:szCs w:val="28"/>
          <w:lang w:eastAsia="fr-FR"/>
        </w:rPr>
      </w:pPr>
      <w:r w:rsidRPr="004B3140">
        <w:rPr>
          <w:rFonts w:ascii="Arial" w:eastAsia="Times New Roman" w:hAnsi="Arial" w:cs="Arial"/>
          <w:color w:val="000000"/>
          <w:sz w:val="28"/>
          <w:szCs w:val="28"/>
          <w:rtl/>
          <w:lang w:eastAsia="fr-FR"/>
        </w:rPr>
        <w:t>(الهيئة العليا للرقابة الإدارية والمالية وهيئة الرقابة العامة للمصالح العمومية وهيئة الرقابة العامة للمالية وهيئة الرقابة العامة لأملاك الدولة والشؤون العقارية والهيئة العامة لمراقبة المصاريف العموميّة وهيئة مراقبـي الدولة والهيئة العليا للطلب العمومي،). اعتماد دليل إجراءات يضبط عملية النشر ونشرها على المواقع الالكترونية لوزارات الإشراف.</w:t>
      </w:r>
    </w:p>
    <w:p w:rsidR="004B3140" w:rsidRPr="004B3140" w:rsidRDefault="004B3140" w:rsidP="004B3140">
      <w:pPr>
        <w:bidi/>
        <w:spacing w:after="160" w:line="259" w:lineRule="auto"/>
        <w:jc w:val="both"/>
        <w:rPr>
          <w:rFonts w:ascii="Arial" w:eastAsia="Times New Roman" w:hAnsi="Arial" w:cs="Arial"/>
          <w:color w:val="000000"/>
          <w:sz w:val="16"/>
          <w:szCs w:val="16"/>
          <w:lang w:eastAsia="fr-FR"/>
        </w:rPr>
      </w:pPr>
    </w:p>
    <w:p w:rsidR="004B3140" w:rsidRPr="004B3140" w:rsidRDefault="004B3140" w:rsidP="004B3140">
      <w:pPr>
        <w:numPr>
          <w:ilvl w:val="0"/>
          <w:numId w:val="3"/>
        </w:numPr>
        <w:bidi/>
        <w:spacing w:after="160" w:line="259" w:lineRule="auto"/>
        <w:contextualSpacing/>
        <w:jc w:val="both"/>
        <w:rPr>
          <w:rFonts w:ascii="Arial" w:eastAsia="Times New Roman" w:hAnsi="Arial" w:cs="Arial"/>
          <w:color w:val="000000"/>
          <w:sz w:val="28"/>
          <w:szCs w:val="28"/>
          <w:lang w:eastAsia="fr-FR"/>
        </w:rPr>
      </w:pPr>
      <w:r w:rsidRPr="004B3140">
        <w:rPr>
          <w:rFonts w:ascii="Arial" w:eastAsia="Times New Roman" w:hAnsi="Arial" w:cs="Arial"/>
          <w:color w:val="000000"/>
          <w:sz w:val="28"/>
          <w:szCs w:val="28"/>
          <w:rtl/>
          <w:lang w:eastAsia="fr-FR"/>
        </w:rPr>
        <w:t>استكمال إصدار النصوص التطبيقية للقانون عدد 46 لسنة 2018 المؤرخ في 1 أوت 2018 والمتعلّق بالتصريح بالمكاسب والمصالح وبمكافحة الإثراء غير المشروع وتضارب المصالح وتحديدا مشروع الأمر الحكومي المتعلق بضبط أنموذج نشر مضمون التصريح بالمكاسب والمصالح</w:t>
      </w:r>
      <w:r w:rsidRPr="004B3140">
        <w:rPr>
          <w:rFonts w:ascii="Arial" w:eastAsia="Times New Roman" w:hAnsi="Arial" w:cs="Arial" w:hint="cs"/>
          <w:color w:val="000000"/>
          <w:sz w:val="28"/>
          <w:szCs w:val="28"/>
          <w:rtl/>
          <w:lang w:eastAsia="fr-FR"/>
        </w:rPr>
        <w:t>،</w:t>
      </w:r>
    </w:p>
    <w:p w:rsidR="004B3140" w:rsidRPr="004B3140" w:rsidRDefault="004B3140" w:rsidP="004B3140">
      <w:pPr>
        <w:spacing w:after="160" w:line="259" w:lineRule="auto"/>
        <w:ind w:left="720"/>
        <w:contextualSpacing/>
        <w:rPr>
          <w:rFonts w:ascii="Arial" w:eastAsia="Times New Roman" w:hAnsi="Arial" w:cs="Arial"/>
          <w:color w:val="000000"/>
          <w:sz w:val="28"/>
          <w:szCs w:val="28"/>
          <w:rtl/>
          <w:lang w:eastAsia="fr-FR"/>
        </w:rPr>
      </w:pPr>
    </w:p>
    <w:p w:rsidR="004B3140" w:rsidRPr="004B3140" w:rsidRDefault="004B3140" w:rsidP="004B3140">
      <w:pPr>
        <w:numPr>
          <w:ilvl w:val="0"/>
          <w:numId w:val="3"/>
        </w:numPr>
        <w:tabs>
          <w:tab w:val="right" w:pos="850"/>
        </w:tabs>
        <w:bidi/>
        <w:spacing w:after="160" w:line="256" w:lineRule="auto"/>
        <w:contextualSpacing/>
        <w:jc w:val="both"/>
        <w:rPr>
          <w:rFonts w:ascii="Arial" w:eastAsia="Times New Roman" w:hAnsi="Arial" w:cs="Arial"/>
          <w:color w:val="000000"/>
          <w:sz w:val="28"/>
          <w:szCs w:val="28"/>
          <w:lang w:eastAsia="fr-FR"/>
        </w:rPr>
      </w:pPr>
      <w:r w:rsidRPr="004B3140">
        <w:rPr>
          <w:rFonts w:ascii="Arial" w:eastAsia="Times New Roman" w:hAnsi="Arial" w:cs="Arial"/>
          <w:color w:val="000000"/>
          <w:sz w:val="28"/>
          <w:szCs w:val="28"/>
          <w:rtl/>
          <w:lang w:eastAsia="fr-FR"/>
        </w:rPr>
        <w:t xml:space="preserve">العمل </w:t>
      </w:r>
      <w:proofErr w:type="gramStart"/>
      <w:r w:rsidRPr="004B3140">
        <w:rPr>
          <w:rFonts w:ascii="Arial" w:eastAsia="Times New Roman" w:hAnsi="Arial" w:cs="Arial"/>
          <w:color w:val="000000"/>
          <w:sz w:val="28"/>
          <w:szCs w:val="28"/>
          <w:rtl/>
          <w:lang w:eastAsia="fr-FR"/>
        </w:rPr>
        <w:t>على</w:t>
      </w:r>
      <w:proofErr w:type="gramEnd"/>
      <w:r w:rsidRPr="004B3140">
        <w:rPr>
          <w:rFonts w:ascii="Arial" w:eastAsia="Times New Roman" w:hAnsi="Arial" w:cs="Arial"/>
          <w:color w:val="000000"/>
          <w:sz w:val="28"/>
          <w:szCs w:val="28"/>
          <w:rtl/>
          <w:lang w:eastAsia="fr-FR"/>
        </w:rPr>
        <w:t xml:space="preserve"> نشر تقرير مفصل حول التمويل العمومي الموجه للجمعيات،</w:t>
      </w:r>
    </w:p>
    <w:p w:rsidR="004B3140" w:rsidRPr="004B3140" w:rsidRDefault="004B3140" w:rsidP="004B3140">
      <w:pPr>
        <w:spacing w:after="160" w:line="259" w:lineRule="auto"/>
        <w:ind w:left="720"/>
        <w:contextualSpacing/>
        <w:rPr>
          <w:rFonts w:ascii="Arial" w:eastAsia="Calibri" w:hAnsi="Arial" w:cs="Arial"/>
          <w:sz w:val="28"/>
          <w:szCs w:val="28"/>
          <w:rtl/>
        </w:rPr>
      </w:pPr>
    </w:p>
    <w:p w:rsidR="004B3140" w:rsidRPr="004B3140" w:rsidRDefault="004B3140" w:rsidP="004B3140">
      <w:pPr>
        <w:numPr>
          <w:ilvl w:val="0"/>
          <w:numId w:val="3"/>
        </w:numPr>
        <w:bidi/>
        <w:spacing w:after="160" w:line="259" w:lineRule="auto"/>
        <w:contextualSpacing/>
        <w:jc w:val="both"/>
        <w:rPr>
          <w:rFonts w:ascii="Arial" w:eastAsia="Times New Roman" w:hAnsi="Arial" w:cs="Arial"/>
          <w:color w:val="000000"/>
          <w:sz w:val="28"/>
          <w:szCs w:val="28"/>
          <w:rtl/>
          <w:lang w:eastAsia="fr-FR"/>
        </w:rPr>
      </w:pPr>
      <w:proofErr w:type="spellStart"/>
      <w:r w:rsidRPr="004B3140">
        <w:rPr>
          <w:rFonts w:ascii="Arial" w:eastAsia="Times New Roman" w:hAnsi="Arial" w:cs="Arial" w:hint="cs"/>
          <w:color w:val="000000"/>
          <w:sz w:val="28"/>
          <w:szCs w:val="28"/>
          <w:rtl/>
          <w:lang w:eastAsia="fr-FR"/>
        </w:rPr>
        <w:t>إعتماد</w:t>
      </w:r>
      <w:proofErr w:type="spellEnd"/>
      <w:r w:rsidRPr="004B3140">
        <w:rPr>
          <w:rFonts w:ascii="Arial" w:eastAsia="Times New Roman" w:hAnsi="Arial" w:cs="Arial" w:hint="cs"/>
          <w:color w:val="000000"/>
          <w:sz w:val="28"/>
          <w:szCs w:val="28"/>
          <w:rtl/>
          <w:lang w:eastAsia="fr-FR"/>
        </w:rPr>
        <w:t xml:space="preserve"> مبادئ التعاقد المفتوح في الطلب العمومي والـشراء المستدام.</w:t>
      </w:r>
    </w:p>
    <w:p w:rsidR="004B3140" w:rsidRPr="004B3140" w:rsidRDefault="004B3140" w:rsidP="004B3140">
      <w:pPr>
        <w:bidi/>
        <w:spacing w:after="160" w:line="259" w:lineRule="auto"/>
        <w:rPr>
          <w:rFonts w:ascii="Arial" w:eastAsia="Calibri" w:hAnsi="Arial" w:cs="Arial"/>
          <w:b/>
          <w:bCs/>
          <w:sz w:val="28"/>
          <w:szCs w:val="28"/>
          <w:rtl/>
        </w:rPr>
      </w:pPr>
      <w:proofErr w:type="gramStart"/>
      <w:r w:rsidRPr="004B3140">
        <w:rPr>
          <w:rFonts w:ascii="Arial" w:eastAsia="Calibri" w:hAnsi="Arial" w:cs="Arial"/>
          <w:b/>
          <w:bCs/>
          <w:color w:val="2E74B5"/>
          <w:sz w:val="28"/>
          <w:szCs w:val="28"/>
          <w:u w:val="single"/>
          <w:rtl/>
        </w:rPr>
        <w:t>البينات</w:t>
      </w:r>
      <w:proofErr w:type="gramEnd"/>
      <w:r w:rsidRPr="004B3140">
        <w:rPr>
          <w:rFonts w:ascii="Arial" w:eastAsia="Calibri" w:hAnsi="Arial" w:cs="Arial"/>
          <w:b/>
          <w:bCs/>
          <w:color w:val="2E74B5"/>
          <w:sz w:val="28"/>
          <w:szCs w:val="28"/>
          <w:u w:val="single"/>
          <w:rtl/>
        </w:rPr>
        <w:t xml:space="preserve"> المفتوحة:</w:t>
      </w:r>
    </w:p>
    <w:p w:rsidR="004B3140" w:rsidRPr="004B3140" w:rsidRDefault="004B3140" w:rsidP="004B3140">
      <w:pPr>
        <w:numPr>
          <w:ilvl w:val="0"/>
          <w:numId w:val="3"/>
        </w:numPr>
        <w:tabs>
          <w:tab w:val="right" w:pos="850"/>
        </w:tabs>
        <w:bidi/>
        <w:spacing w:after="160" w:line="259" w:lineRule="auto"/>
        <w:contextualSpacing/>
        <w:jc w:val="both"/>
        <w:rPr>
          <w:rFonts w:ascii="Arial" w:eastAsia="Times New Roman" w:hAnsi="Arial" w:cs="Arial"/>
          <w:color w:val="000000"/>
          <w:sz w:val="28"/>
          <w:szCs w:val="28"/>
          <w:lang w:eastAsia="fr-FR"/>
        </w:rPr>
      </w:pPr>
      <w:proofErr w:type="gramStart"/>
      <w:r w:rsidRPr="004B3140">
        <w:rPr>
          <w:rFonts w:ascii="Arial" w:eastAsia="Times New Roman" w:hAnsi="Arial" w:cs="Arial" w:hint="cs"/>
          <w:color w:val="000000"/>
          <w:sz w:val="28"/>
          <w:szCs w:val="28"/>
          <w:rtl/>
          <w:lang w:eastAsia="fr-FR"/>
        </w:rPr>
        <w:lastRenderedPageBreak/>
        <w:t>تطوير</w:t>
      </w:r>
      <w:proofErr w:type="gramEnd"/>
      <w:r w:rsidRPr="004B3140">
        <w:rPr>
          <w:rFonts w:ascii="Arial" w:eastAsia="Times New Roman" w:hAnsi="Arial" w:cs="Arial" w:hint="cs"/>
          <w:color w:val="000000"/>
          <w:sz w:val="28"/>
          <w:szCs w:val="28"/>
          <w:rtl/>
          <w:lang w:eastAsia="fr-FR"/>
        </w:rPr>
        <w:t xml:space="preserve"> نسخة جديدة للبوابة الوطنية للبيانات المفتوحة،</w:t>
      </w:r>
    </w:p>
    <w:p w:rsidR="004B3140" w:rsidRPr="004B3140" w:rsidRDefault="004B3140" w:rsidP="004B3140">
      <w:pPr>
        <w:tabs>
          <w:tab w:val="right" w:pos="850"/>
        </w:tabs>
        <w:bidi/>
        <w:spacing w:after="160" w:line="259" w:lineRule="auto"/>
        <w:ind w:left="720"/>
        <w:contextualSpacing/>
        <w:jc w:val="both"/>
        <w:rPr>
          <w:rFonts w:ascii="Arial" w:eastAsia="Times New Roman" w:hAnsi="Arial" w:cs="Arial"/>
          <w:color w:val="000000"/>
          <w:sz w:val="16"/>
          <w:szCs w:val="16"/>
          <w:lang w:eastAsia="fr-FR"/>
        </w:rPr>
      </w:pPr>
    </w:p>
    <w:p w:rsidR="004B3140" w:rsidRPr="004B3140" w:rsidRDefault="004B3140" w:rsidP="004B3140">
      <w:pPr>
        <w:numPr>
          <w:ilvl w:val="0"/>
          <w:numId w:val="3"/>
        </w:numPr>
        <w:tabs>
          <w:tab w:val="right" w:pos="850"/>
        </w:tabs>
        <w:bidi/>
        <w:spacing w:after="160" w:line="259" w:lineRule="auto"/>
        <w:contextualSpacing/>
        <w:jc w:val="both"/>
        <w:rPr>
          <w:rFonts w:ascii="Arial" w:eastAsia="Calibri" w:hAnsi="Arial" w:cs="Arial"/>
          <w:sz w:val="28"/>
          <w:szCs w:val="28"/>
          <w:rtl/>
        </w:rPr>
      </w:pPr>
      <w:r w:rsidRPr="004B3140">
        <w:rPr>
          <w:rFonts w:ascii="Arial" w:eastAsia="Calibri" w:hAnsi="Arial" w:cs="Arial" w:hint="cs"/>
          <w:sz w:val="28"/>
          <w:szCs w:val="28"/>
          <w:rtl/>
        </w:rPr>
        <w:t xml:space="preserve">جرد مجموعات البيانات العمومية ذات الأولوية والعمل على نشرها في صيغة مفتوحة </w:t>
      </w:r>
      <w:r w:rsidRPr="004B3140">
        <w:rPr>
          <w:rFonts w:ascii="Calibri" w:eastAsia="Calibri" w:hAnsi="Calibri" w:cs="Arial"/>
          <w:sz w:val="28"/>
          <w:szCs w:val="28"/>
          <w:rtl/>
        </w:rPr>
        <w:t>حسب المرجعيات والتسميات والتصنيفات المعمول بها</w:t>
      </w:r>
      <w:r w:rsidRPr="004B3140">
        <w:rPr>
          <w:rFonts w:ascii="Calibri" w:eastAsia="Calibri" w:hAnsi="Calibri" w:cs="Arial" w:hint="cs"/>
          <w:sz w:val="28"/>
          <w:szCs w:val="28"/>
          <w:rtl/>
        </w:rPr>
        <w:t xml:space="preserve"> ومصاحبة تطوير حالات إعادة استعمال باعتماد البيانات المنشورة</w:t>
      </w:r>
      <w:r w:rsidRPr="004B3140">
        <w:rPr>
          <w:rFonts w:ascii="Arial" w:eastAsia="Calibri" w:hAnsi="Arial" w:cs="Arial" w:hint="cs"/>
          <w:sz w:val="28"/>
          <w:szCs w:val="28"/>
          <w:rtl/>
        </w:rPr>
        <w:t xml:space="preserve"> مع إيلاء أولوية:</w:t>
      </w:r>
    </w:p>
    <w:p w:rsidR="004B3140" w:rsidRPr="004B3140" w:rsidRDefault="004B3140" w:rsidP="004B3140">
      <w:pPr>
        <w:numPr>
          <w:ilvl w:val="0"/>
          <w:numId w:val="6"/>
        </w:numPr>
        <w:bidi/>
        <w:spacing w:after="160" w:line="259" w:lineRule="auto"/>
        <w:contextualSpacing/>
        <w:rPr>
          <w:rFonts w:ascii="Arial" w:eastAsia="Calibri" w:hAnsi="Arial" w:cs="Arial"/>
          <w:sz w:val="28"/>
          <w:szCs w:val="28"/>
        </w:rPr>
      </w:pPr>
      <w:r w:rsidRPr="004B3140">
        <w:rPr>
          <w:rFonts w:ascii="Arial" w:eastAsia="Calibri" w:hAnsi="Arial" w:cs="Arial" w:hint="cs"/>
          <w:sz w:val="28"/>
          <w:szCs w:val="28"/>
          <w:rtl/>
        </w:rPr>
        <w:t xml:space="preserve">عدد من القطاعات ذات الطابع الاجتماعي (الصحة، الشؤون الاجتماعية، التربية والتعليم العالي، العدل، الداخلية) وقطاعات ذات طابع اقتصادي (الصناعة والطاقة، التنمية </w:t>
      </w:r>
      <w:proofErr w:type="gramStart"/>
      <w:r w:rsidRPr="004B3140">
        <w:rPr>
          <w:rFonts w:ascii="Arial" w:eastAsia="Calibri" w:hAnsi="Arial" w:cs="Arial" w:hint="cs"/>
          <w:sz w:val="28"/>
          <w:szCs w:val="28"/>
          <w:rtl/>
        </w:rPr>
        <w:t>والاستثمار</w:t>
      </w:r>
      <w:proofErr w:type="gramEnd"/>
      <w:r w:rsidRPr="004B3140">
        <w:rPr>
          <w:rFonts w:ascii="Arial" w:eastAsia="Calibri" w:hAnsi="Arial" w:cs="Arial" w:hint="cs"/>
          <w:sz w:val="28"/>
          <w:szCs w:val="28"/>
          <w:rtl/>
        </w:rPr>
        <w:t xml:space="preserve">)، </w:t>
      </w:r>
    </w:p>
    <w:p w:rsidR="004B3140" w:rsidRPr="004B3140" w:rsidRDefault="004B3140" w:rsidP="004B3140">
      <w:pPr>
        <w:numPr>
          <w:ilvl w:val="0"/>
          <w:numId w:val="6"/>
        </w:numPr>
        <w:bidi/>
        <w:spacing w:after="160" w:line="259" w:lineRule="auto"/>
        <w:contextualSpacing/>
        <w:rPr>
          <w:rFonts w:ascii="Arial" w:eastAsia="Calibri" w:hAnsi="Arial" w:cs="Arial"/>
          <w:sz w:val="28"/>
          <w:szCs w:val="28"/>
        </w:rPr>
      </w:pPr>
      <w:r w:rsidRPr="004B3140">
        <w:rPr>
          <w:rFonts w:ascii="Arial" w:eastAsia="Calibri" w:hAnsi="Arial" w:cs="Arial" w:hint="cs"/>
          <w:sz w:val="28"/>
          <w:szCs w:val="28"/>
          <w:rtl/>
        </w:rPr>
        <w:t xml:space="preserve">للبيانات ذات الطابع الجغرافي لتطوير استعمالات </w:t>
      </w:r>
      <w:proofErr w:type="spellStart"/>
      <w:r w:rsidRPr="004B3140">
        <w:rPr>
          <w:rFonts w:ascii="Arial" w:eastAsia="Calibri" w:hAnsi="Arial" w:cs="Arial" w:hint="cs"/>
          <w:sz w:val="28"/>
          <w:szCs w:val="28"/>
          <w:rtl/>
        </w:rPr>
        <w:t>الجغرفة</w:t>
      </w:r>
      <w:proofErr w:type="spellEnd"/>
      <w:r w:rsidRPr="004B3140">
        <w:rPr>
          <w:rFonts w:ascii="Arial" w:eastAsia="Calibri" w:hAnsi="Arial" w:cs="Arial" w:hint="cs"/>
          <w:sz w:val="28"/>
          <w:szCs w:val="28"/>
          <w:rtl/>
        </w:rPr>
        <w:t xml:space="preserve"> الرقمية في المجال.</w:t>
      </w:r>
    </w:p>
    <w:p w:rsidR="004B3140" w:rsidRPr="004B3140" w:rsidRDefault="004B3140" w:rsidP="004B3140">
      <w:pPr>
        <w:bidi/>
        <w:spacing w:after="160" w:line="259" w:lineRule="auto"/>
        <w:ind w:left="720"/>
        <w:contextualSpacing/>
        <w:rPr>
          <w:rFonts w:ascii="Arial" w:eastAsia="Calibri" w:hAnsi="Arial" w:cs="Arial"/>
          <w:sz w:val="16"/>
          <w:szCs w:val="16"/>
        </w:rPr>
      </w:pPr>
    </w:p>
    <w:p w:rsidR="004B3140" w:rsidRPr="004B3140" w:rsidRDefault="004B3140" w:rsidP="004B3140">
      <w:pPr>
        <w:numPr>
          <w:ilvl w:val="0"/>
          <w:numId w:val="3"/>
        </w:numPr>
        <w:tabs>
          <w:tab w:val="right" w:pos="992"/>
        </w:tabs>
        <w:bidi/>
        <w:spacing w:after="160" w:line="259" w:lineRule="auto"/>
        <w:contextualSpacing/>
        <w:rPr>
          <w:rFonts w:ascii="Arial" w:eastAsia="Calibri" w:hAnsi="Arial" w:cs="Arial"/>
          <w:sz w:val="28"/>
          <w:szCs w:val="28"/>
        </w:rPr>
      </w:pPr>
      <w:r w:rsidRPr="004B3140">
        <w:rPr>
          <w:rFonts w:ascii="Arial" w:eastAsia="Calibri" w:hAnsi="Arial" w:cs="Arial" w:hint="cs"/>
          <w:sz w:val="28"/>
          <w:szCs w:val="28"/>
          <w:rtl/>
        </w:rPr>
        <w:t>اعتماد المرجعيات الوطنية لتحديد المواصفات والتسميات المشتركة للبيانات العمومية والعمل على تطويرها على غرار المرجعيات المعدة من المعهد الوطني للإحصاء والعمل على تطويرها للاستجابة الى الخصائص الفنية لفتح البيانات</w:t>
      </w:r>
      <w:r w:rsidRPr="004B3140">
        <w:rPr>
          <w:rFonts w:ascii="Arial" w:eastAsia="Calibri" w:hAnsi="Arial" w:cs="Arial"/>
          <w:sz w:val="28"/>
          <w:szCs w:val="28"/>
          <w:rtl/>
        </w:rPr>
        <w:t>،</w:t>
      </w:r>
    </w:p>
    <w:p w:rsidR="004B3140" w:rsidRPr="004B3140" w:rsidRDefault="004B3140" w:rsidP="004B3140">
      <w:pPr>
        <w:spacing w:after="160" w:line="259" w:lineRule="auto"/>
        <w:ind w:left="720"/>
        <w:contextualSpacing/>
        <w:rPr>
          <w:rFonts w:ascii="Arial" w:eastAsia="Calibri" w:hAnsi="Arial" w:cs="Arial"/>
          <w:sz w:val="28"/>
          <w:szCs w:val="28"/>
          <w:rtl/>
        </w:rPr>
      </w:pPr>
    </w:p>
    <w:p w:rsidR="004B3140" w:rsidRPr="004B3140" w:rsidRDefault="004B3140" w:rsidP="004B3140">
      <w:pPr>
        <w:bidi/>
        <w:spacing w:after="160" w:line="259" w:lineRule="auto"/>
        <w:rPr>
          <w:rFonts w:ascii="Arial" w:eastAsia="Calibri" w:hAnsi="Arial" w:cs="Arial"/>
          <w:color w:val="2E74B5"/>
          <w:sz w:val="28"/>
          <w:szCs w:val="28"/>
          <w:u w:val="single"/>
          <w:rtl/>
        </w:rPr>
      </w:pPr>
      <w:proofErr w:type="spellStart"/>
      <w:r w:rsidRPr="004B3140">
        <w:rPr>
          <w:rFonts w:ascii="Arial" w:eastAsia="Calibri" w:hAnsi="Arial" w:cs="Arial"/>
          <w:b/>
          <w:bCs/>
          <w:color w:val="2E74B5"/>
          <w:sz w:val="28"/>
          <w:szCs w:val="28"/>
          <w:u w:val="single"/>
          <w:rtl/>
        </w:rPr>
        <w:t>حوكمة</w:t>
      </w:r>
      <w:proofErr w:type="spellEnd"/>
      <w:r w:rsidRPr="004B3140">
        <w:rPr>
          <w:rFonts w:ascii="Arial" w:eastAsia="Calibri" w:hAnsi="Arial" w:cs="Arial"/>
          <w:b/>
          <w:bCs/>
          <w:color w:val="2E74B5"/>
          <w:sz w:val="28"/>
          <w:szCs w:val="28"/>
          <w:u w:val="single"/>
          <w:rtl/>
        </w:rPr>
        <w:t xml:space="preserve"> التصرف في الثروات الطبيعية</w:t>
      </w:r>
      <w:r w:rsidRPr="004B3140">
        <w:rPr>
          <w:rFonts w:ascii="Arial" w:eastAsia="Calibri" w:hAnsi="Arial" w:cs="Arial"/>
          <w:color w:val="2E74B5"/>
          <w:sz w:val="28"/>
          <w:szCs w:val="28"/>
          <w:u w:val="single"/>
          <w:rtl/>
        </w:rPr>
        <w:t>:</w:t>
      </w:r>
    </w:p>
    <w:p w:rsidR="004B3140" w:rsidRPr="004B3140" w:rsidRDefault="004B3140" w:rsidP="004B3140">
      <w:pPr>
        <w:bidi/>
        <w:spacing w:after="160" w:line="259" w:lineRule="auto"/>
        <w:rPr>
          <w:rFonts w:ascii="Arial" w:eastAsia="Calibri" w:hAnsi="Arial" w:cs="Arial"/>
          <w:color w:val="2E74B5"/>
          <w:sz w:val="28"/>
          <w:szCs w:val="28"/>
          <w:u w:val="single"/>
          <w:rtl/>
        </w:rPr>
      </w:pPr>
    </w:p>
    <w:p w:rsidR="004B3140" w:rsidRPr="004B3140" w:rsidRDefault="004B3140" w:rsidP="004B3140">
      <w:pPr>
        <w:numPr>
          <w:ilvl w:val="0"/>
          <w:numId w:val="3"/>
        </w:numPr>
        <w:tabs>
          <w:tab w:val="right" w:pos="850"/>
        </w:tabs>
        <w:bidi/>
        <w:spacing w:after="160" w:line="259" w:lineRule="auto"/>
        <w:contextualSpacing/>
        <w:jc w:val="both"/>
        <w:rPr>
          <w:rFonts w:ascii="Arial" w:eastAsia="Times New Roman" w:hAnsi="Arial" w:cs="Arial"/>
          <w:color w:val="000000"/>
          <w:sz w:val="28"/>
          <w:szCs w:val="28"/>
          <w:lang w:eastAsia="fr-FR"/>
        </w:rPr>
      </w:pPr>
      <w:r w:rsidRPr="004B3140">
        <w:rPr>
          <w:rFonts w:ascii="Arial" w:eastAsia="Times New Roman" w:hAnsi="Arial" w:cs="Arial"/>
          <w:color w:val="000000"/>
          <w:sz w:val="28"/>
          <w:szCs w:val="28"/>
          <w:rtl/>
          <w:lang w:eastAsia="fr-FR"/>
        </w:rPr>
        <w:t>نشر جميع المعطيات المتعلقة بقطاع</w:t>
      </w:r>
      <w:r w:rsidRPr="004B3140">
        <w:rPr>
          <w:rFonts w:ascii="Arial" w:eastAsia="Times New Roman" w:hAnsi="Arial" w:cs="Arial" w:hint="cs"/>
          <w:color w:val="000000"/>
          <w:sz w:val="28"/>
          <w:szCs w:val="28"/>
          <w:rtl/>
          <w:lang w:eastAsia="fr-FR"/>
        </w:rPr>
        <w:t xml:space="preserve"> المحروقات والمناجم</w:t>
      </w:r>
      <w:r w:rsidRPr="004B3140">
        <w:rPr>
          <w:rFonts w:ascii="Arial" w:eastAsia="Times New Roman" w:hAnsi="Arial" w:cs="Arial"/>
          <w:color w:val="000000"/>
          <w:sz w:val="28"/>
          <w:szCs w:val="28"/>
          <w:rtl/>
          <w:lang w:eastAsia="fr-FR"/>
        </w:rPr>
        <w:t xml:space="preserve"> في بوابة موحدة وذلك بالاستناد على معيار مبادرة الشفافية في</w:t>
      </w:r>
      <w:r w:rsidRPr="004B3140">
        <w:rPr>
          <w:rFonts w:ascii="Arial" w:eastAsia="Times New Roman" w:hAnsi="Arial" w:cs="Arial" w:hint="cs"/>
          <w:color w:val="000000"/>
          <w:sz w:val="28"/>
          <w:szCs w:val="28"/>
          <w:rtl/>
          <w:lang w:eastAsia="fr-FR"/>
        </w:rPr>
        <w:t xml:space="preserve"> الصناعات الاستخراجية</w:t>
      </w:r>
      <w:r w:rsidRPr="004B3140">
        <w:rPr>
          <w:rFonts w:ascii="Arial" w:eastAsia="Times New Roman" w:hAnsi="Arial" w:cs="Arial"/>
          <w:color w:val="000000"/>
          <w:sz w:val="28"/>
          <w:szCs w:val="28"/>
          <w:rtl/>
          <w:lang w:eastAsia="fr-FR"/>
        </w:rPr>
        <w:t xml:space="preserve"> </w:t>
      </w:r>
      <w:r w:rsidRPr="004B3140">
        <w:rPr>
          <w:rFonts w:ascii="Arial" w:eastAsia="Times New Roman" w:hAnsi="Arial" w:cs="Arial" w:hint="cs"/>
          <w:color w:val="000000"/>
          <w:sz w:val="28"/>
          <w:szCs w:val="28"/>
          <w:rtl/>
          <w:lang w:eastAsia="fr-FR"/>
        </w:rPr>
        <w:t>مع</w:t>
      </w:r>
      <w:r w:rsidRPr="004B3140">
        <w:rPr>
          <w:rFonts w:ascii="Arial" w:eastAsia="Times New Roman" w:hAnsi="Arial" w:cs="Arial"/>
          <w:color w:val="000000"/>
          <w:sz w:val="28"/>
          <w:szCs w:val="28"/>
          <w:rtl/>
          <w:lang w:eastAsia="fr-FR"/>
        </w:rPr>
        <w:t xml:space="preserve"> </w:t>
      </w:r>
      <w:r w:rsidRPr="004B3140">
        <w:rPr>
          <w:rFonts w:ascii="Arial" w:eastAsia="Times New Roman" w:hAnsi="Arial" w:cs="Arial" w:hint="cs"/>
          <w:color w:val="000000"/>
          <w:sz w:val="28"/>
          <w:szCs w:val="28"/>
          <w:rtl/>
          <w:lang w:eastAsia="fr-FR"/>
        </w:rPr>
        <w:t>التركيز</w:t>
      </w:r>
      <w:r w:rsidRPr="004B3140">
        <w:rPr>
          <w:rFonts w:ascii="Arial" w:eastAsia="Times New Roman" w:hAnsi="Arial" w:cs="Arial"/>
          <w:color w:val="000000"/>
          <w:sz w:val="28"/>
          <w:szCs w:val="28"/>
          <w:rtl/>
          <w:lang w:eastAsia="fr-FR"/>
        </w:rPr>
        <w:t xml:space="preserve"> </w:t>
      </w:r>
      <w:r w:rsidRPr="004B3140">
        <w:rPr>
          <w:rFonts w:ascii="Arial" w:eastAsia="Times New Roman" w:hAnsi="Arial" w:cs="Arial" w:hint="cs"/>
          <w:color w:val="000000"/>
          <w:sz w:val="28"/>
          <w:szCs w:val="28"/>
          <w:rtl/>
          <w:lang w:eastAsia="fr-FR"/>
        </w:rPr>
        <w:t>على</w:t>
      </w:r>
      <w:r w:rsidRPr="004B3140">
        <w:rPr>
          <w:rFonts w:ascii="Arial" w:eastAsia="Times New Roman" w:hAnsi="Arial" w:cs="Arial"/>
          <w:color w:val="000000"/>
          <w:sz w:val="28"/>
          <w:szCs w:val="28"/>
          <w:rtl/>
          <w:lang w:eastAsia="fr-FR"/>
        </w:rPr>
        <w:t xml:space="preserve"> </w:t>
      </w:r>
      <w:r w:rsidRPr="004B3140">
        <w:rPr>
          <w:rFonts w:ascii="Arial" w:eastAsia="Times New Roman" w:hAnsi="Arial" w:cs="Arial" w:hint="cs"/>
          <w:color w:val="000000"/>
          <w:sz w:val="28"/>
          <w:szCs w:val="28"/>
          <w:rtl/>
          <w:lang w:eastAsia="fr-FR"/>
        </w:rPr>
        <w:t>المداخي</w:t>
      </w:r>
      <w:r w:rsidRPr="004B3140">
        <w:rPr>
          <w:rFonts w:ascii="Arial" w:eastAsia="Times New Roman" w:hAnsi="Arial" w:cs="Arial"/>
          <w:color w:val="000000"/>
          <w:sz w:val="28"/>
          <w:szCs w:val="28"/>
          <w:rtl/>
          <w:lang w:eastAsia="fr-FR"/>
        </w:rPr>
        <w:t>ل المتأتية من الثروات الطبيعي</w:t>
      </w:r>
      <w:r w:rsidRPr="004B3140">
        <w:rPr>
          <w:rFonts w:ascii="Arial" w:eastAsia="Times New Roman" w:hAnsi="Arial" w:cs="Arial" w:hint="cs"/>
          <w:color w:val="000000"/>
          <w:sz w:val="28"/>
          <w:szCs w:val="28"/>
          <w:rtl/>
          <w:lang w:eastAsia="fr-FR"/>
        </w:rPr>
        <w:t>ة،</w:t>
      </w:r>
    </w:p>
    <w:p w:rsidR="004B3140" w:rsidRPr="004B3140" w:rsidRDefault="004B3140" w:rsidP="004B3140">
      <w:pPr>
        <w:tabs>
          <w:tab w:val="right" w:pos="850"/>
        </w:tabs>
        <w:bidi/>
        <w:spacing w:after="160" w:line="259" w:lineRule="auto"/>
        <w:ind w:left="720"/>
        <w:contextualSpacing/>
        <w:jc w:val="both"/>
        <w:rPr>
          <w:rFonts w:ascii="Arial" w:eastAsia="Times New Roman" w:hAnsi="Arial" w:cs="Arial"/>
          <w:color w:val="000000"/>
          <w:sz w:val="28"/>
          <w:szCs w:val="28"/>
          <w:lang w:eastAsia="fr-FR"/>
        </w:rPr>
      </w:pPr>
    </w:p>
    <w:p w:rsidR="004B3140" w:rsidRPr="004B3140" w:rsidRDefault="004B3140" w:rsidP="004B3140">
      <w:pPr>
        <w:numPr>
          <w:ilvl w:val="0"/>
          <w:numId w:val="3"/>
        </w:numPr>
        <w:tabs>
          <w:tab w:val="right" w:pos="850"/>
        </w:tabs>
        <w:bidi/>
        <w:spacing w:after="160" w:line="259" w:lineRule="auto"/>
        <w:contextualSpacing/>
        <w:jc w:val="both"/>
        <w:rPr>
          <w:rFonts w:ascii="Arial" w:eastAsia="Times New Roman" w:hAnsi="Arial" w:cs="Arial"/>
          <w:color w:val="000000"/>
          <w:sz w:val="28"/>
          <w:szCs w:val="28"/>
          <w:lang w:eastAsia="fr-FR"/>
        </w:rPr>
      </w:pPr>
      <w:r w:rsidRPr="004B3140">
        <w:rPr>
          <w:rFonts w:ascii="Arial" w:eastAsia="Times New Roman" w:hAnsi="Arial" w:cs="Arial"/>
          <w:color w:val="000000"/>
          <w:sz w:val="28"/>
          <w:szCs w:val="28"/>
          <w:rtl/>
          <w:lang w:eastAsia="fr-FR"/>
        </w:rPr>
        <w:t xml:space="preserve">نشر المعطيات الخاصة بالمسؤولية المجتمعية </w:t>
      </w:r>
      <w:r w:rsidRPr="004B3140">
        <w:rPr>
          <w:rFonts w:ascii="Arial" w:eastAsia="Times New Roman" w:hAnsi="Arial" w:cs="Arial" w:hint="cs"/>
          <w:color w:val="000000"/>
          <w:sz w:val="28"/>
          <w:szCs w:val="28"/>
          <w:rtl/>
          <w:lang w:eastAsia="fr-FR"/>
        </w:rPr>
        <w:t>بالمنشآت العمومية في مجال الصناعات الاستخراجية (</w:t>
      </w:r>
      <w:r w:rsidRPr="004B3140">
        <w:rPr>
          <w:rFonts w:ascii="Arial" w:eastAsia="Times New Roman" w:hAnsi="Arial" w:cs="Arial"/>
          <w:color w:val="000000"/>
          <w:sz w:val="28"/>
          <w:szCs w:val="28"/>
          <w:rtl/>
          <w:lang w:eastAsia="fr-FR"/>
        </w:rPr>
        <w:t xml:space="preserve">المنتفعين وقيمة المبالغ </w:t>
      </w:r>
      <w:r w:rsidRPr="004B3140">
        <w:rPr>
          <w:rFonts w:ascii="Arial" w:eastAsia="Times New Roman" w:hAnsi="Arial" w:cs="Arial" w:hint="cs"/>
          <w:color w:val="000000"/>
          <w:sz w:val="28"/>
          <w:szCs w:val="28"/>
          <w:rtl/>
          <w:lang w:eastAsia="fr-FR"/>
        </w:rPr>
        <w:t>المرصودة)،</w:t>
      </w:r>
    </w:p>
    <w:p w:rsidR="004B3140" w:rsidRPr="004B3140" w:rsidRDefault="004B3140" w:rsidP="004B3140">
      <w:pPr>
        <w:tabs>
          <w:tab w:val="right" w:pos="850"/>
        </w:tabs>
        <w:bidi/>
        <w:spacing w:after="160" w:line="259" w:lineRule="auto"/>
        <w:ind w:left="720"/>
        <w:contextualSpacing/>
        <w:jc w:val="both"/>
        <w:rPr>
          <w:rFonts w:ascii="Arial" w:eastAsia="Times New Roman" w:hAnsi="Arial" w:cs="Arial"/>
          <w:color w:val="000000"/>
          <w:sz w:val="28"/>
          <w:szCs w:val="28"/>
          <w:lang w:eastAsia="fr-FR"/>
        </w:rPr>
      </w:pPr>
    </w:p>
    <w:p w:rsidR="004B3140" w:rsidRPr="004B3140" w:rsidRDefault="004B3140" w:rsidP="004B3140">
      <w:pPr>
        <w:tabs>
          <w:tab w:val="right" w:pos="850"/>
        </w:tabs>
        <w:bidi/>
        <w:spacing w:after="160" w:line="259" w:lineRule="auto"/>
        <w:ind w:left="720"/>
        <w:contextualSpacing/>
        <w:jc w:val="both"/>
        <w:rPr>
          <w:rFonts w:ascii="Arial" w:eastAsia="Times New Roman" w:hAnsi="Arial" w:cs="Arial"/>
          <w:color w:val="000000"/>
          <w:sz w:val="16"/>
          <w:szCs w:val="16"/>
          <w:rtl/>
          <w:lang w:eastAsia="fr-FR"/>
        </w:rPr>
      </w:pPr>
    </w:p>
    <w:p w:rsidR="004B3140" w:rsidRPr="004B3140" w:rsidRDefault="004B3140" w:rsidP="004B3140">
      <w:pPr>
        <w:numPr>
          <w:ilvl w:val="0"/>
          <w:numId w:val="3"/>
        </w:numPr>
        <w:tabs>
          <w:tab w:val="right" w:pos="850"/>
        </w:tabs>
        <w:bidi/>
        <w:spacing w:after="160" w:line="259" w:lineRule="auto"/>
        <w:contextualSpacing/>
        <w:jc w:val="both"/>
        <w:rPr>
          <w:rFonts w:ascii="Arial" w:eastAsia="Times New Roman" w:hAnsi="Arial" w:cs="Arial"/>
          <w:color w:val="000000"/>
          <w:sz w:val="28"/>
          <w:szCs w:val="28"/>
          <w:lang w:eastAsia="fr-FR"/>
        </w:rPr>
      </w:pPr>
      <w:r w:rsidRPr="004B3140">
        <w:rPr>
          <w:rFonts w:ascii="Arial" w:eastAsia="Times New Roman" w:hAnsi="Arial" w:cs="Arial"/>
          <w:color w:val="000000"/>
          <w:sz w:val="28"/>
          <w:szCs w:val="28"/>
          <w:rtl/>
          <w:lang w:eastAsia="fr-FR"/>
        </w:rPr>
        <w:t xml:space="preserve">نشر المعطيات </w:t>
      </w:r>
      <w:proofErr w:type="gramStart"/>
      <w:r w:rsidRPr="004B3140">
        <w:rPr>
          <w:rFonts w:ascii="Arial" w:eastAsia="Times New Roman" w:hAnsi="Arial" w:cs="Arial"/>
          <w:color w:val="000000"/>
          <w:sz w:val="28"/>
          <w:szCs w:val="28"/>
          <w:rtl/>
          <w:lang w:eastAsia="fr-FR"/>
        </w:rPr>
        <w:t>المتعلقة</w:t>
      </w:r>
      <w:proofErr w:type="gramEnd"/>
      <w:r w:rsidRPr="004B3140">
        <w:rPr>
          <w:rFonts w:ascii="Arial" w:eastAsia="Times New Roman" w:hAnsi="Arial" w:cs="Arial"/>
          <w:color w:val="000000"/>
          <w:sz w:val="28"/>
          <w:szCs w:val="28"/>
          <w:rtl/>
          <w:lang w:eastAsia="fr-FR"/>
        </w:rPr>
        <w:t xml:space="preserve"> بالرخص </w:t>
      </w:r>
      <w:r w:rsidRPr="004B3140">
        <w:rPr>
          <w:rFonts w:ascii="Arial" w:eastAsia="Times New Roman" w:hAnsi="Arial" w:cs="Arial" w:hint="cs"/>
          <w:color w:val="000000"/>
          <w:sz w:val="28"/>
          <w:szCs w:val="28"/>
          <w:rtl/>
          <w:lang w:eastAsia="fr-FR"/>
        </w:rPr>
        <w:t xml:space="preserve">والعقود </w:t>
      </w:r>
      <w:r w:rsidRPr="004B3140">
        <w:rPr>
          <w:rFonts w:ascii="Arial" w:eastAsia="Times New Roman" w:hAnsi="Arial" w:cs="Arial"/>
          <w:color w:val="000000"/>
          <w:sz w:val="28"/>
          <w:szCs w:val="28"/>
          <w:rtl/>
          <w:lang w:eastAsia="fr-FR"/>
        </w:rPr>
        <w:t>المسندة بالطاقات المتجددة والشركات الم</w:t>
      </w:r>
      <w:r w:rsidRPr="004B3140">
        <w:rPr>
          <w:rFonts w:ascii="Arial" w:eastAsia="Times New Roman" w:hAnsi="Arial" w:cs="Arial" w:hint="cs"/>
          <w:color w:val="000000"/>
          <w:sz w:val="28"/>
          <w:szCs w:val="28"/>
          <w:rtl/>
          <w:lang w:eastAsia="fr-FR" w:bidi="ar-TN"/>
        </w:rPr>
        <w:t>نت</w:t>
      </w:r>
      <w:proofErr w:type="spellStart"/>
      <w:r w:rsidRPr="004B3140">
        <w:rPr>
          <w:rFonts w:ascii="Arial" w:eastAsia="Times New Roman" w:hAnsi="Arial" w:cs="Arial" w:hint="cs"/>
          <w:color w:val="000000"/>
          <w:sz w:val="28"/>
          <w:szCs w:val="28"/>
          <w:rtl/>
          <w:lang w:eastAsia="fr-FR"/>
        </w:rPr>
        <w:t>ف</w:t>
      </w:r>
      <w:r w:rsidRPr="004B3140">
        <w:rPr>
          <w:rFonts w:ascii="Arial" w:eastAsia="Times New Roman" w:hAnsi="Arial" w:cs="Arial"/>
          <w:color w:val="000000"/>
          <w:sz w:val="28"/>
          <w:szCs w:val="28"/>
          <w:rtl/>
          <w:lang w:eastAsia="fr-FR"/>
        </w:rPr>
        <w:t>عة</w:t>
      </w:r>
      <w:proofErr w:type="spellEnd"/>
      <w:r w:rsidRPr="004B3140">
        <w:rPr>
          <w:rFonts w:ascii="Arial" w:eastAsia="Times New Roman" w:hAnsi="Arial" w:cs="Arial"/>
          <w:color w:val="000000"/>
          <w:sz w:val="28"/>
          <w:szCs w:val="28"/>
          <w:rtl/>
          <w:lang w:eastAsia="fr-FR"/>
        </w:rPr>
        <w:t xml:space="preserve"> بها وحجم الإنتاج</w:t>
      </w:r>
      <w:r w:rsidRPr="004B3140">
        <w:rPr>
          <w:rFonts w:ascii="Arial" w:eastAsia="Times New Roman" w:hAnsi="Arial" w:cs="Arial" w:hint="cs"/>
          <w:color w:val="000000"/>
          <w:sz w:val="28"/>
          <w:szCs w:val="28"/>
          <w:rtl/>
          <w:lang w:eastAsia="fr-FR"/>
        </w:rPr>
        <w:t>،</w:t>
      </w:r>
    </w:p>
    <w:p w:rsidR="004B3140" w:rsidRPr="004B3140" w:rsidRDefault="004B3140" w:rsidP="004B3140">
      <w:pPr>
        <w:tabs>
          <w:tab w:val="right" w:pos="850"/>
        </w:tabs>
        <w:bidi/>
        <w:spacing w:after="160" w:line="259" w:lineRule="auto"/>
        <w:ind w:left="720"/>
        <w:contextualSpacing/>
        <w:jc w:val="both"/>
        <w:rPr>
          <w:rFonts w:ascii="Arial" w:eastAsia="Times New Roman" w:hAnsi="Arial" w:cs="Arial"/>
          <w:color w:val="000000"/>
          <w:sz w:val="28"/>
          <w:szCs w:val="28"/>
          <w:lang w:eastAsia="fr-FR"/>
        </w:rPr>
      </w:pPr>
    </w:p>
    <w:p w:rsidR="004B3140" w:rsidRPr="004B3140" w:rsidRDefault="004B3140" w:rsidP="004B3140">
      <w:pPr>
        <w:numPr>
          <w:ilvl w:val="0"/>
          <w:numId w:val="3"/>
        </w:numPr>
        <w:tabs>
          <w:tab w:val="right" w:pos="850"/>
        </w:tabs>
        <w:bidi/>
        <w:spacing w:after="160" w:line="259" w:lineRule="auto"/>
        <w:contextualSpacing/>
        <w:jc w:val="both"/>
        <w:rPr>
          <w:rFonts w:ascii="Arial" w:eastAsia="Times New Roman" w:hAnsi="Arial" w:cs="Arial"/>
          <w:color w:val="000000"/>
          <w:sz w:val="28"/>
          <w:szCs w:val="28"/>
          <w:lang w:eastAsia="fr-FR"/>
        </w:rPr>
      </w:pPr>
      <w:r w:rsidRPr="004B3140">
        <w:rPr>
          <w:rFonts w:ascii="Arial" w:eastAsia="Times New Roman" w:hAnsi="Arial" w:cs="Arial"/>
          <w:color w:val="000000"/>
          <w:sz w:val="28"/>
          <w:szCs w:val="28"/>
          <w:rtl/>
          <w:lang w:eastAsia="fr-FR"/>
        </w:rPr>
        <w:t>مواصلة مسار انضمام تونس لمبادرة الشفافية في الصناعات الاستخراجية</w:t>
      </w:r>
      <w:r w:rsidRPr="004B3140">
        <w:rPr>
          <w:rFonts w:ascii="Arial" w:eastAsia="Times New Roman" w:hAnsi="Arial" w:cs="Arial" w:hint="cs"/>
          <w:color w:val="000000"/>
          <w:sz w:val="28"/>
          <w:szCs w:val="28"/>
          <w:rtl/>
          <w:lang w:eastAsia="fr-FR"/>
        </w:rPr>
        <w:t>.</w:t>
      </w:r>
    </w:p>
    <w:p w:rsidR="00552C1F" w:rsidRPr="004B3140" w:rsidRDefault="00552C1F" w:rsidP="00552C1F">
      <w:pPr>
        <w:bidi/>
        <w:spacing w:line="240" w:lineRule="auto"/>
        <w:jc w:val="center"/>
        <w:rPr>
          <w:rFonts w:ascii="Traditional Arabic" w:hAnsi="Traditional Arabic" w:cs="Traditional Arabic"/>
          <w:b/>
          <w:bCs/>
          <w:color w:val="000000" w:themeColor="text1"/>
          <w:sz w:val="16"/>
          <w:szCs w:val="16"/>
          <w:rtl/>
          <w:lang w:bidi="ar-TN"/>
        </w:rPr>
      </w:pPr>
    </w:p>
    <w:sectPr w:rsidR="00552C1F" w:rsidRPr="004B3140" w:rsidSect="00163B42">
      <w:footerReference w:type="default" r:id="rId8"/>
      <w:pgSz w:w="11906" w:h="16838"/>
      <w:pgMar w:top="567" w:right="1418"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4BC" w:rsidRDefault="00E154BC" w:rsidP="004B72E3">
      <w:pPr>
        <w:spacing w:after="0" w:line="240" w:lineRule="auto"/>
      </w:pPr>
      <w:r>
        <w:separator/>
      </w:r>
    </w:p>
  </w:endnote>
  <w:endnote w:type="continuationSeparator" w:id="0">
    <w:p w:rsidR="00E154BC" w:rsidRDefault="00E154BC" w:rsidP="004B7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677610"/>
      <w:docPartObj>
        <w:docPartGallery w:val="Page Numbers (Bottom of Page)"/>
        <w:docPartUnique/>
      </w:docPartObj>
    </w:sdtPr>
    <w:sdtEndPr/>
    <w:sdtContent>
      <w:p w:rsidR="004B72E3" w:rsidRDefault="0034382B">
        <w:pPr>
          <w:pStyle w:val="Pieddepage"/>
          <w:jc w:val="center"/>
        </w:pPr>
        <w:r>
          <w:fldChar w:fldCharType="begin"/>
        </w:r>
        <w:r>
          <w:instrText xml:space="preserve"> PAGE   \* MERGEFORMAT </w:instrText>
        </w:r>
        <w:r>
          <w:fldChar w:fldCharType="separate"/>
        </w:r>
        <w:r w:rsidR="004B3140">
          <w:rPr>
            <w:noProof/>
          </w:rPr>
          <w:t>2</w:t>
        </w:r>
        <w:r>
          <w:rPr>
            <w:noProof/>
          </w:rPr>
          <w:fldChar w:fldCharType="end"/>
        </w:r>
      </w:p>
    </w:sdtContent>
  </w:sdt>
  <w:p w:rsidR="004B72E3" w:rsidRDefault="004B72E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4BC" w:rsidRDefault="00E154BC" w:rsidP="004B72E3">
      <w:pPr>
        <w:spacing w:after="0" w:line="240" w:lineRule="auto"/>
      </w:pPr>
      <w:r>
        <w:separator/>
      </w:r>
    </w:p>
  </w:footnote>
  <w:footnote w:type="continuationSeparator" w:id="0">
    <w:p w:rsidR="00E154BC" w:rsidRDefault="00E154BC" w:rsidP="004B72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1309B"/>
    <w:multiLevelType w:val="hybridMultilevel"/>
    <w:tmpl w:val="F0CECE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3E632EB"/>
    <w:multiLevelType w:val="hybridMultilevel"/>
    <w:tmpl w:val="34B2FB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4C57604"/>
    <w:multiLevelType w:val="hybridMultilevel"/>
    <w:tmpl w:val="8E40A55A"/>
    <w:lvl w:ilvl="0" w:tplc="FA5A14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24083A"/>
    <w:multiLevelType w:val="hybridMultilevel"/>
    <w:tmpl w:val="A42A766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70E0013F"/>
    <w:multiLevelType w:val="hybridMultilevel"/>
    <w:tmpl w:val="F0F6BAE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BF54C55"/>
    <w:multiLevelType w:val="hybridMultilevel"/>
    <w:tmpl w:val="4E6623D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C1F"/>
    <w:rsid w:val="00074537"/>
    <w:rsid w:val="00077D35"/>
    <w:rsid w:val="000B3F1D"/>
    <w:rsid w:val="000C5D46"/>
    <w:rsid w:val="000D0FBC"/>
    <w:rsid w:val="000E0B50"/>
    <w:rsid w:val="000F2B8F"/>
    <w:rsid w:val="00127CD4"/>
    <w:rsid w:val="00152CDB"/>
    <w:rsid w:val="00160AAF"/>
    <w:rsid w:val="00160ECE"/>
    <w:rsid w:val="00163B42"/>
    <w:rsid w:val="0017499F"/>
    <w:rsid w:val="00176678"/>
    <w:rsid w:val="00196639"/>
    <w:rsid w:val="001B6D3A"/>
    <w:rsid w:val="0021710F"/>
    <w:rsid w:val="00251E2A"/>
    <w:rsid w:val="00283B78"/>
    <w:rsid w:val="00285C97"/>
    <w:rsid w:val="002A75F8"/>
    <w:rsid w:val="002D5349"/>
    <w:rsid w:val="00341901"/>
    <w:rsid w:val="0034382B"/>
    <w:rsid w:val="00413F15"/>
    <w:rsid w:val="00470871"/>
    <w:rsid w:val="004A19A7"/>
    <w:rsid w:val="004B3140"/>
    <w:rsid w:val="004B72E3"/>
    <w:rsid w:val="004C099B"/>
    <w:rsid w:val="004F58A8"/>
    <w:rsid w:val="00552C1F"/>
    <w:rsid w:val="00567077"/>
    <w:rsid w:val="005950AF"/>
    <w:rsid w:val="00596043"/>
    <w:rsid w:val="00692F89"/>
    <w:rsid w:val="0069429C"/>
    <w:rsid w:val="006C2B0C"/>
    <w:rsid w:val="007C1A01"/>
    <w:rsid w:val="007C3D6A"/>
    <w:rsid w:val="007E2D1A"/>
    <w:rsid w:val="0083498C"/>
    <w:rsid w:val="008719C8"/>
    <w:rsid w:val="00893BAD"/>
    <w:rsid w:val="008E50A2"/>
    <w:rsid w:val="00952410"/>
    <w:rsid w:val="00972DFB"/>
    <w:rsid w:val="00997933"/>
    <w:rsid w:val="009B0921"/>
    <w:rsid w:val="00A454A0"/>
    <w:rsid w:val="00A71EE0"/>
    <w:rsid w:val="00B03CD6"/>
    <w:rsid w:val="00BC4C0B"/>
    <w:rsid w:val="00C34807"/>
    <w:rsid w:val="00C37E5C"/>
    <w:rsid w:val="00C717EA"/>
    <w:rsid w:val="00C84928"/>
    <w:rsid w:val="00CB5A8A"/>
    <w:rsid w:val="00CD2E46"/>
    <w:rsid w:val="00CE0CF5"/>
    <w:rsid w:val="00D224FD"/>
    <w:rsid w:val="00D4207C"/>
    <w:rsid w:val="00D64172"/>
    <w:rsid w:val="00D80A1E"/>
    <w:rsid w:val="00D87450"/>
    <w:rsid w:val="00DD135C"/>
    <w:rsid w:val="00DD1F31"/>
    <w:rsid w:val="00E154BC"/>
    <w:rsid w:val="00E8727A"/>
    <w:rsid w:val="00EA5460"/>
    <w:rsid w:val="00EC2B97"/>
    <w:rsid w:val="00F23D1D"/>
    <w:rsid w:val="00F24AEF"/>
    <w:rsid w:val="00F83BD0"/>
    <w:rsid w:val="00FA087C"/>
    <w:rsid w:val="00FC2D3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C1F"/>
    <w:rPr>
      <w:rFonts w:ascii="Times New Roman" w:eastAsia="SimSu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52C1F"/>
    <w:pPr>
      <w:spacing w:before="100" w:beforeAutospacing="1" w:after="100" w:afterAutospacing="1" w:line="240" w:lineRule="auto"/>
    </w:pPr>
    <w:rPr>
      <w:rFonts w:eastAsiaTheme="minorHAnsi"/>
      <w:sz w:val="24"/>
      <w:szCs w:val="24"/>
      <w:lang w:eastAsia="fr-FR"/>
    </w:rPr>
  </w:style>
  <w:style w:type="table" w:styleId="Grilledutableau">
    <w:name w:val="Table Grid"/>
    <w:basedOn w:val="TableauNormal"/>
    <w:uiPriority w:val="59"/>
    <w:rsid w:val="00552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FC2D3A"/>
    <w:rPr>
      <w:color w:val="0000FF"/>
      <w:u w:val="single"/>
    </w:rPr>
  </w:style>
  <w:style w:type="paragraph" w:styleId="Paragraphedeliste">
    <w:name w:val="List Paragraph"/>
    <w:basedOn w:val="Normal"/>
    <w:uiPriority w:val="34"/>
    <w:qFormat/>
    <w:rsid w:val="00DD1F31"/>
    <w:pPr>
      <w:ind w:left="720"/>
      <w:contextualSpacing/>
    </w:pPr>
  </w:style>
  <w:style w:type="paragraph" w:styleId="Explorateurdedocuments">
    <w:name w:val="Document Map"/>
    <w:basedOn w:val="Normal"/>
    <w:link w:val="ExplorateurdedocumentsCar"/>
    <w:uiPriority w:val="99"/>
    <w:semiHidden/>
    <w:unhideWhenUsed/>
    <w:rsid w:val="00160ECE"/>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160ECE"/>
    <w:rPr>
      <w:rFonts w:ascii="Tahoma" w:eastAsia="SimSun" w:hAnsi="Tahoma" w:cs="Tahoma"/>
      <w:sz w:val="16"/>
      <w:szCs w:val="16"/>
    </w:rPr>
  </w:style>
  <w:style w:type="table" w:customStyle="1" w:styleId="TableGrid">
    <w:name w:val="TableGrid"/>
    <w:rsid w:val="00341901"/>
    <w:pPr>
      <w:spacing w:after="0" w:line="240" w:lineRule="auto"/>
    </w:pPr>
    <w:rPr>
      <w:rFonts w:eastAsiaTheme="minorEastAsia"/>
      <w:lang w:val="en-US"/>
    </w:rPr>
    <w:tblPr>
      <w:tblCellMar>
        <w:top w:w="0" w:type="dxa"/>
        <w:left w:w="0" w:type="dxa"/>
        <w:bottom w:w="0" w:type="dxa"/>
        <w:right w:w="0" w:type="dxa"/>
      </w:tblCellMar>
    </w:tblPr>
  </w:style>
  <w:style w:type="paragraph" w:styleId="En-tte">
    <w:name w:val="header"/>
    <w:basedOn w:val="Normal"/>
    <w:link w:val="En-tteCar"/>
    <w:uiPriority w:val="99"/>
    <w:semiHidden/>
    <w:unhideWhenUsed/>
    <w:rsid w:val="004B72E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B72E3"/>
    <w:rPr>
      <w:rFonts w:ascii="Times New Roman" w:eastAsia="SimSun" w:hAnsi="Times New Roman" w:cs="Times New Roman"/>
    </w:rPr>
  </w:style>
  <w:style w:type="paragraph" w:styleId="Pieddepage">
    <w:name w:val="footer"/>
    <w:basedOn w:val="Normal"/>
    <w:link w:val="PieddepageCar"/>
    <w:uiPriority w:val="99"/>
    <w:unhideWhenUsed/>
    <w:rsid w:val="004B72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72E3"/>
    <w:rPr>
      <w:rFonts w:ascii="Times New Roman" w:eastAsia="SimSu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C1F"/>
    <w:rPr>
      <w:rFonts w:ascii="Times New Roman" w:eastAsia="SimSu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52C1F"/>
    <w:pPr>
      <w:spacing w:before="100" w:beforeAutospacing="1" w:after="100" w:afterAutospacing="1" w:line="240" w:lineRule="auto"/>
    </w:pPr>
    <w:rPr>
      <w:rFonts w:eastAsiaTheme="minorHAnsi"/>
      <w:sz w:val="24"/>
      <w:szCs w:val="24"/>
      <w:lang w:eastAsia="fr-FR"/>
    </w:rPr>
  </w:style>
  <w:style w:type="table" w:styleId="Grilledutableau">
    <w:name w:val="Table Grid"/>
    <w:basedOn w:val="TableauNormal"/>
    <w:uiPriority w:val="59"/>
    <w:rsid w:val="00552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FC2D3A"/>
    <w:rPr>
      <w:color w:val="0000FF"/>
      <w:u w:val="single"/>
    </w:rPr>
  </w:style>
  <w:style w:type="paragraph" w:styleId="Paragraphedeliste">
    <w:name w:val="List Paragraph"/>
    <w:basedOn w:val="Normal"/>
    <w:uiPriority w:val="34"/>
    <w:qFormat/>
    <w:rsid w:val="00DD1F31"/>
    <w:pPr>
      <w:ind w:left="720"/>
      <w:contextualSpacing/>
    </w:pPr>
  </w:style>
  <w:style w:type="paragraph" w:styleId="Explorateurdedocuments">
    <w:name w:val="Document Map"/>
    <w:basedOn w:val="Normal"/>
    <w:link w:val="ExplorateurdedocumentsCar"/>
    <w:uiPriority w:val="99"/>
    <w:semiHidden/>
    <w:unhideWhenUsed/>
    <w:rsid w:val="00160ECE"/>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160ECE"/>
    <w:rPr>
      <w:rFonts w:ascii="Tahoma" w:eastAsia="SimSun" w:hAnsi="Tahoma" w:cs="Tahoma"/>
      <w:sz w:val="16"/>
      <w:szCs w:val="16"/>
    </w:rPr>
  </w:style>
  <w:style w:type="table" w:customStyle="1" w:styleId="TableGrid">
    <w:name w:val="TableGrid"/>
    <w:rsid w:val="00341901"/>
    <w:pPr>
      <w:spacing w:after="0" w:line="240" w:lineRule="auto"/>
    </w:pPr>
    <w:rPr>
      <w:rFonts w:eastAsiaTheme="minorEastAsia"/>
      <w:lang w:val="en-US"/>
    </w:rPr>
    <w:tblPr>
      <w:tblCellMar>
        <w:top w:w="0" w:type="dxa"/>
        <w:left w:w="0" w:type="dxa"/>
        <w:bottom w:w="0" w:type="dxa"/>
        <w:right w:w="0" w:type="dxa"/>
      </w:tblCellMar>
    </w:tblPr>
  </w:style>
  <w:style w:type="paragraph" w:styleId="En-tte">
    <w:name w:val="header"/>
    <w:basedOn w:val="Normal"/>
    <w:link w:val="En-tteCar"/>
    <w:uiPriority w:val="99"/>
    <w:semiHidden/>
    <w:unhideWhenUsed/>
    <w:rsid w:val="004B72E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B72E3"/>
    <w:rPr>
      <w:rFonts w:ascii="Times New Roman" w:eastAsia="SimSun" w:hAnsi="Times New Roman" w:cs="Times New Roman"/>
    </w:rPr>
  </w:style>
  <w:style w:type="paragraph" w:styleId="Pieddepage">
    <w:name w:val="footer"/>
    <w:basedOn w:val="Normal"/>
    <w:link w:val="PieddepageCar"/>
    <w:uiPriority w:val="99"/>
    <w:unhideWhenUsed/>
    <w:rsid w:val="004B72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72E3"/>
    <w:rPr>
      <w:rFonts w:ascii="Times New Roman" w:eastAsia="SimSu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70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439</Words>
  <Characters>2416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Gharbi Sonia</dc:creator>
  <cp:lastModifiedBy>saoussan moalla</cp:lastModifiedBy>
  <cp:revision>3</cp:revision>
  <dcterms:created xsi:type="dcterms:W3CDTF">2021-04-14T11:18:00Z</dcterms:created>
  <dcterms:modified xsi:type="dcterms:W3CDTF">2021-04-14T12:07:00Z</dcterms:modified>
</cp:coreProperties>
</file>