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color w:val="000000" w:themeColor="text1"/>
          <w:sz w:val="18"/>
          <w:szCs w:val="24"/>
          <w:rtl/>
          <w:lang w:eastAsia="fr-FR"/>
        </w:rPr>
        <w:t>الجمهورية</w:t>
      </w:r>
      <w:proofErr w:type="gramEnd"/>
      <w:r w:rsidRPr="00CF591A">
        <w:rPr>
          <w:rFonts w:eastAsia="Times New Roman" w:cs="Arabic Transparent"/>
          <w:color w:val="000000" w:themeColor="text1"/>
          <w:sz w:val="18"/>
          <w:szCs w:val="24"/>
          <w:rtl/>
          <w:lang w:eastAsia="fr-FR"/>
        </w:rPr>
        <w:t xml:space="preserve"> التونسية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hint="cs"/>
          <w:color w:val="000000" w:themeColor="text1"/>
          <w:sz w:val="18"/>
          <w:szCs w:val="24"/>
          <w:rtl/>
          <w:lang w:eastAsia="fr-FR"/>
        </w:rPr>
        <w:t>رئاسة</w:t>
      </w:r>
      <w:proofErr w:type="gramEnd"/>
      <w:r w:rsidRPr="00CF591A">
        <w:rPr>
          <w:rFonts w:eastAsia="Times New Roman" w:cs="Arabic Transparent" w:hint="cs"/>
          <w:color w:val="000000" w:themeColor="text1"/>
          <w:sz w:val="18"/>
          <w:szCs w:val="24"/>
          <w:rtl/>
          <w:lang w:eastAsia="fr-FR"/>
        </w:rPr>
        <w:t xml:space="preserve"> الحكومة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lang w:eastAsia="fr-FR"/>
        </w:rPr>
      </w:pPr>
      <w:proofErr w:type="gramStart"/>
      <w:r w:rsidRPr="00CF591A">
        <w:rPr>
          <w:rFonts w:eastAsia="Times New Roman" w:cs="Arabic Transparent" w:hint="cs"/>
          <w:color w:val="000000" w:themeColor="text1"/>
          <w:sz w:val="18"/>
          <w:szCs w:val="24"/>
          <w:rtl/>
          <w:lang w:eastAsia="fr-FR"/>
        </w:rPr>
        <w:t>مصالح</w:t>
      </w:r>
      <w:proofErr w:type="gramEnd"/>
      <w:r w:rsidR="00163B42">
        <w:rPr>
          <w:rFonts w:eastAsia="Times New Roman" w:cs="Arabic Transparent"/>
          <w:color w:val="000000" w:themeColor="text1"/>
          <w:sz w:val="18"/>
          <w:szCs w:val="24"/>
          <w:lang w:eastAsia="fr-FR"/>
        </w:rPr>
        <w:t xml:space="preserve"> </w:t>
      </w:r>
      <w:r w:rsidRPr="00CF591A">
        <w:rPr>
          <w:rFonts w:eastAsia="Times New Roman" w:cs="Arabic Transparent" w:hint="cs"/>
          <w:color w:val="000000" w:themeColor="text1"/>
          <w:sz w:val="18"/>
          <w:szCs w:val="24"/>
          <w:rtl/>
          <w:lang w:eastAsia="fr-FR" w:bidi="ar-TN"/>
        </w:rPr>
        <w:t>ال</w:t>
      </w:r>
      <w:r w:rsidRPr="00CF591A">
        <w:rPr>
          <w:rFonts w:eastAsia="Times New Roman" w:cs="Arabic Transparent"/>
          <w:color w:val="000000" w:themeColor="text1"/>
          <w:sz w:val="18"/>
          <w:szCs w:val="24"/>
          <w:rtl/>
          <w:lang w:eastAsia="fr-FR"/>
        </w:rPr>
        <w:t>وزير</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لدى رئيس الحكومة </w:t>
      </w:r>
      <w:r w:rsidRPr="00CF591A">
        <w:rPr>
          <w:rFonts w:eastAsia="Times New Roman" w:cs="Arabic Transparent" w:hint="cs"/>
          <w:color w:val="000000" w:themeColor="text1"/>
          <w:sz w:val="18"/>
          <w:szCs w:val="24"/>
          <w:rtl/>
          <w:lang w:eastAsia="fr-FR"/>
        </w:rPr>
        <w:t>ال</w:t>
      </w:r>
      <w:r w:rsidRPr="00CF591A">
        <w:rPr>
          <w:rFonts w:eastAsia="Times New Roman" w:cs="Arabic Transparent"/>
          <w:color w:val="000000" w:themeColor="text1"/>
          <w:sz w:val="18"/>
          <w:szCs w:val="24"/>
          <w:rtl/>
          <w:lang w:eastAsia="fr-FR"/>
        </w:rPr>
        <w:t>مكلف</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بالوظيفة العمومية </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rtl/>
          <w:lang w:eastAsia="fr-FR"/>
        </w:rPr>
      </w:pPr>
      <w:proofErr w:type="gramStart"/>
      <w:r w:rsidRPr="00CF591A">
        <w:rPr>
          <w:rFonts w:eastAsia="Times New Roman" w:cs="Arabic Transparent" w:hint="cs"/>
          <w:color w:val="000000" w:themeColor="text1"/>
          <w:rtl/>
          <w:lang w:eastAsia="fr-FR"/>
        </w:rPr>
        <w:t>وحدة</w:t>
      </w:r>
      <w:proofErr w:type="gramEnd"/>
      <w:r w:rsidRPr="00CF591A">
        <w:rPr>
          <w:rFonts w:eastAsia="Times New Roman" w:cs="Arabic Transparent" w:hint="cs"/>
          <w:color w:val="000000" w:themeColor="text1"/>
          <w:rtl/>
          <w:lang w:eastAsia="fr-FR"/>
        </w:rPr>
        <w:t xml:space="preserve"> الإدارة الإلكترونية</w:t>
      </w:r>
    </w:p>
    <w:p w:rsidR="00552C1F" w:rsidRPr="00CF591A" w:rsidRDefault="00552C1F" w:rsidP="00552C1F">
      <w:pPr>
        <w:bidi/>
        <w:ind w:left="-567"/>
        <w:rPr>
          <w:color w:val="000000" w:themeColor="text1"/>
          <w:sz w:val="14"/>
          <w:szCs w:val="14"/>
          <w:rtl/>
          <w:lang w:bidi="ar-TN"/>
        </w:rPr>
      </w:pPr>
    </w:p>
    <w:p w:rsidR="0069429C" w:rsidRPr="0069429C" w:rsidRDefault="00B00AB4" w:rsidP="0069429C">
      <w:pPr>
        <w:bidi/>
        <w:spacing w:after="160" w:line="259" w:lineRule="auto"/>
        <w:jc w:val="center"/>
        <w:rPr>
          <w:rFonts w:ascii="Arial" w:eastAsia="Calibri" w:hAnsi="Arial" w:cs="Arial"/>
          <w:b/>
          <w:bCs/>
          <w:color w:val="2F5496"/>
          <w:sz w:val="32"/>
          <w:szCs w:val="32"/>
          <w:rtl/>
        </w:rPr>
      </w:pPr>
      <w:r>
        <w:rPr>
          <w:rFonts w:ascii="Arial" w:eastAsia="Calibri" w:hAnsi="Arial" w:cs="Arial" w:hint="cs"/>
          <w:b/>
          <w:bCs/>
          <w:color w:val="2F5496"/>
          <w:sz w:val="32"/>
          <w:szCs w:val="32"/>
          <w:rtl/>
        </w:rPr>
        <w:t>القائمة الكاملة للمقترحات</w:t>
      </w:r>
      <w:bookmarkStart w:id="0" w:name="_GoBack"/>
      <w:bookmarkEnd w:id="0"/>
      <w:r w:rsidR="0069429C" w:rsidRPr="0069429C">
        <w:rPr>
          <w:rFonts w:ascii="Arial" w:eastAsia="Calibri" w:hAnsi="Arial" w:cs="Arial" w:hint="cs"/>
          <w:b/>
          <w:bCs/>
          <w:color w:val="2F5496"/>
          <w:sz w:val="32"/>
          <w:szCs w:val="32"/>
          <w:rtl/>
        </w:rPr>
        <w:t xml:space="preserve"> الممكن إدراجها ضمن الصيغة الأولية لخطة العمل الرابعة</w:t>
      </w:r>
      <w:r w:rsidR="0069429C" w:rsidRPr="0069429C">
        <w:rPr>
          <w:rFonts w:ascii="Arial" w:eastAsia="Calibri" w:hAnsi="Arial" w:cs="Arial" w:hint="cs"/>
          <w:b/>
          <w:bCs/>
          <w:sz w:val="32"/>
          <w:szCs w:val="32"/>
          <w:rtl/>
        </w:rPr>
        <w:t xml:space="preserve"> </w:t>
      </w:r>
      <w:r w:rsidR="0069429C" w:rsidRPr="0069429C">
        <w:rPr>
          <w:rFonts w:ascii="Arial" w:eastAsia="Calibri" w:hAnsi="Arial" w:cs="Arial" w:hint="cs"/>
          <w:b/>
          <w:bCs/>
          <w:color w:val="2F5496"/>
          <w:sz w:val="32"/>
          <w:szCs w:val="32"/>
          <w:rtl/>
        </w:rPr>
        <w:t>لشراكة الحكومة المفتوحة</w:t>
      </w: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w:t>
      </w:r>
    </w:p>
    <w:p w:rsidR="0069429C" w:rsidRPr="0069429C" w:rsidRDefault="0069429C" w:rsidP="0069429C">
      <w:pPr>
        <w:bidi/>
        <w:spacing w:after="160" w:line="259" w:lineRule="auto"/>
        <w:jc w:val="center"/>
        <w:rPr>
          <w:rFonts w:ascii="Arial" w:eastAsia="Calibri" w:hAnsi="Arial" w:cs="Arial"/>
          <w:b/>
          <w:bCs/>
          <w:sz w:val="28"/>
          <w:szCs w:val="28"/>
          <w:rtl/>
        </w:rPr>
      </w:pPr>
      <w:r w:rsidRPr="0069429C">
        <w:rPr>
          <w:rFonts w:ascii="Arial" w:eastAsia="Calibri" w:hAnsi="Arial" w:cs="Arial" w:hint="cs"/>
          <w:b/>
          <w:bCs/>
          <w:color w:val="2F5496"/>
          <w:sz w:val="28"/>
          <w:szCs w:val="28"/>
          <w:rtl/>
        </w:rPr>
        <w:t xml:space="preserve">محور الشفافية </w:t>
      </w:r>
      <w:proofErr w:type="spellStart"/>
      <w:r w:rsidRPr="0069429C">
        <w:rPr>
          <w:rFonts w:ascii="Arial" w:eastAsia="Calibri" w:hAnsi="Arial" w:cs="Arial" w:hint="cs"/>
          <w:b/>
          <w:bCs/>
          <w:color w:val="2F5496"/>
          <w:sz w:val="28"/>
          <w:szCs w:val="28"/>
          <w:rtl/>
        </w:rPr>
        <w:t>وحوكمة</w:t>
      </w:r>
      <w:proofErr w:type="spellEnd"/>
      <w:r w:rsidRPr="0069429C">
        <w:rPr>
          <w:rFonts w:ascii="Arial" w:eastAsia="Calibri" w:hAnsi="Arial" w:cs="Arial" w:hint="cs"/>
          <w:b/>
          <w:bCs/>
          <w:color w:val="2F5496"/>
          <w:sz w:val="28"/>
          <w:szCs w:val="28"/>
          <w:rtl/>
        </w:rPr>
        <w:t xml:space="preserve"> التصرف في الثروات الطبيعية</w:t>
      </w:r>
    </w:p>
    <w:p w:rsidR="0069429C" w:rsidRPr="0069429C" w:rsidRDefault="0069429C" w:rsidP="0069429C">
      <w:pPr>
        <w:bidi/>
        <w:spacing w:after="160" w:line="259" w:lineRule="auto"/>
        <w:rPr>
          <w:rFonts w:ascii="Arial" w:eastAsia="Calibri" w:hAnsi="Arial" w:cs="Arial"/>
          <w:b/>
          <w:bCs/>
          <w:sz w:val="28"/>
          <w:szCs w:val="28"/>
          <w:rtl/>
        </w:rPr>
      </w:pPr>
    </w:p>
    <w:p w:rsidR="0069429C" w:rsidRPr="0069429C" w:rsidRDefault="0069429C" w:rsidP="0069429C">
      <w:pPr>
        <w:bidi/>
        <w:spacing w:after="160" w:line="259" w:lineRule="auto"/>
        <w:rPr>
          <w:rFonts w:ascii="Arial" w:eastAsia="Calibri" w:hAnsi="Arial" w:cs="Arial"/>
          <w:sz w:val="28"/>
          <w:szCs w:val="28"/>
          <w:u w:val="single"/>
          <w:rtl/>
        </w:rPr>
      </w:pPr>
      <w:r w:rsidRPr="0069429C">
        <w:rPr>
          <w:rFonts w:ascii="Arial" w:eastAsia="Calibri" w:hAnsi="Arial" w:cs="Arial"/>
          <w:b/>
          <w:bCs/>
          <w:color w:val="2F5496"/>
          <w:sz w:val="28"/>
          <w:szCs w:val="28"/>
          <w:u w:val="single"/>
          <w:rtl/>
        </w:rPr>
        <w:t>حق النفاذ إلى المعلومة</w:t>
      </w: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وضع</w:t>
      </w:r>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استراتيجية وطنية لتجسيم احكام القانون الأساسي عدد 22 لسنة 2016 المتعلق بالحق</w:t>
      </w:r>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في النفاذ إلى المعلومة،</w:t>
      </w:r>
    </w:p>
    <w:p w:rsidR="0069429C" w:rsidRPr="0069429C" w:rsidRDefault="0069429C" w:rsidP="0069429C">
      <w:pPr>
        <w:bidi/>
        <w:spacing w:after="160" w:line="259" w:lineRule="auto"/>
        <w:ind w:left="720"/>
        <w:contextualSpacing/>
        <w:jc w:val="both"/>
        <w:rPr>
          <w:rFonts w:ascii="Arial" w:eastAsia="Times New Roman" w:hAnsi="Arial" w:cs="Arial"/>
          <w:color w:val="000000"/>
          <w:sz w:val="28"/>
          <w:szCs w:val="28"/>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hint="cs"/>
          <w:color w:val="000000"/>
          <w:sz w:val="28"/>
          <w:szCs w:val="28"/>
          <w:rtl/>
          <w:lang w:eastAsia="fr-FR"/>
        </w:rPr>
        <w:t>تكوين فريق عمل تنسيقي مع المجتمع المدني حول مختلف الأنشطة المتعلقة بالنفاد إلى المعلومة،</w:t>
      </w:r>
    </w:p>
    <w:p w:rsidR="0069429C" w:rsidRPr="0069429C" w:rsidRDefault="0069429C" w:rsidP="0069429C">
      <w:pPr>
        <w:bidi/>
        <w:spacing w:after="160" w:line="259" w:lineRule="auto"/>
        <w:jc w:val="both"/>
        <w:rPr>
          <w:rFonts w:ascii="Arial" w:eastAsia="Times New Roman" w:hAnsi="Arial" w:cs="Arial"/>
          <w:color w:val="000000"/>
          <w:sz w:val="16"/>
          <w:szCs w:val="16"/>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hint="cs"/>
          <w:color w:val="000000"/>
          <w:sz w:val="28"/>
          <w:szCs w:val="28"/>
          <w:rtl/>
          <w:lang w:eastAsia="fr-FR"/>
        </w:rPr>
        <w:t>ضبط م</w:t>
      </w:r>
      <w:r w:rsidRPr="0069429C">
        <w:rPr>
          <w:rFonts w:ascii="Arial" w:eastAsia="Times New Roman" w:hAnsi="Arial" w:cs="Arial" w:hint="cs"/>
          <w:color w:val="000000"/>
          <w:sz w:val="28"/>
          <w:szCs w:val="28"/>
          <w:rtl/>
          <w:lang w:eastAsia="fr-FR" w:bidi="ar-TN"/>
        </w:rPr>
        <w:t>ؤ</w:t>
      </w:r>
      <w:proofErr w:type="spellStart"/>
      <w:r w:rsidRPr="0069429C">
        <w:rPr>
          <w:rFonts w:ascii="Arial" w:eastAsia="Times New Roman" w:hAnsi="Arial" w:cs="Arial" w:hint="cs"/>
          <w:color w:val="000000"/>
          <w:sz w:val="28"/>
          <w:szCs w:val="28"/>
          <w:rtl/>
          <w:lang w:eastAsia="fr-FR"/>
        </w:rPr>
        <w:t>شرات</w:t>
      </w:r>
      <w:proofErr w:type="spellEnd"/>
      <w:r w:rsidRPr="0069429C">
        <w:rPr>
          <w:rFonts w:ascii="Arial" w:eastAsia="Times New Roman" w:hAnsi="Arial" w:cs="Arial" w:hint="cs"/>
          <w:color w:val="000000"/>
          <w:sz w:val="28"/>
          <w:szCs w:val="28"/>
          <w:rtl/>
          <w:lang w:eastAsia="fr-FR"/>
        </w:rPr>
        <w:t xml:space="preserve"> مرتبطة بهدف التنمية المستدامة </w:t>
      </w:r>
      <w:r w:rsidRPr="0069429C">
        <w:rPr>
          <w:rFonts w:ascii="Arial" w:eastAsia="Times New Roman" w:hAnsi="Arial" w:cs="Arial"/>
          <w:color w:val="000000"/>
          <w:sz w:val="28"/>
          <w:szCs w:val="28"/>
          <w:lang w:eastAsia="fr-FR"/>
        </w:rPr>
        <w:t>ODD 16</w:t>
      </w:r>
      <w:r w:rsidRPr="0069429C">
        <w:rPr>
          <w:rFonts w:ascii="Arial" w:eastAsia="Times New Roman" w:hAnsi="Arial" w:cs="Arial" w:hint="cs"/>
          <w:color w:val="000000"/>
          <w:sz w:val="28"/>
          <w:szCs w:val="28"/>
          <w:rtl/>
          <w:lang w:eastAsia="fr-FR"/>
        </w:rPr>
        <w:t xml:space="preserve"> وإغداد تقارير متابعة في الخصوص،</w:t>
      </w:r>
    </w:p>
    <w:p w:rsidR="0069429C" w:rsidRPr="0069429C" w:rsidRDefault="0069429C" w:rsidP="0069429C">
      <w:pPr>
        <w:bidi/>
        <w:spacing w:after="160" w:line="259" w:lineRule="auto"/>
        <w:jc w:val="both"/>
        <w:rPr>
          <w:rFonts w:ascii="Arial" w:eastAsia="Times New Roman" w:hAnsi="Arial" w:cs="Arial"/>
          <w:color w:val="000000"/>
          <w:sz w:val="16"/>
          <w:szCs w:val="16"/>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hint="cs"/>
          <w:color w:val="000000"/>
          <w:sz w:val="28"/>
          <w:szCs w:val="28"/>
          <w:rtl/>
          <w:lang w:eastAsia="fr-FR"/>
        </w:rPr>
        <w:t>إصدار النصوص الترتيبية المتعلقة بهيئة النفاذ إلى المعلومة،</w:t>
      </w:r>
    </w:p>
    <w:p w:rsidR="0069429C" w:rsidRPr="0069429C" w:rsidRDefault="0069429C" w:rsidP="0069429C">
      <w:pPr>
        <w:bidi/>
        <w:spacing w:after="160" w:line="259" w:lineRule="auto"/>
        <w:ind w:left="720"/>
        <w:contextualSpacing/>
        <w:jc w:val="both"/>
        <w:rPr>
          <w:rFonts w:ascii="Arial" w:eastAsia="Times New Roman" w:hAnsi="Arial" w:cs="Arial"/>
          <w:color w:val="000000"/>
          <w:sz w:val="28"/>
          <w:szCs w:val="28"/>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مؤسسة</w:t>
      </w:r>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مسؤولية النفاذ إلى المعلومة بمختلف الهياكل العمومية وتمكين المسؤول على النفاذ</w:t>
      </w:r>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إلى المعلومة بالصلاحيات والامكانيات المادية (ميزانية) والبشرية للاضطلاع</w:t>
      </w:r>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بمهامه كما هو محدد ضمن القانون،</w:t>
      </w:r>
    </w:p>
    <w:p w:rsidR="0069429C" w:rsidRPr="0069429C" w:rsidRDefault="0069429C" w:rsidP="0069429C">
      <w:pPr>
        <w:bidi/>
        <w:spacing w:after="160" w:line="259" w:lineRule="auto"/>
        <w:jc w:val="both"/>
        <w:rPr>
          <w:rFonts w:ascii="Arial" w:eastAsia="Times New Roman" w:hAnsi="Arial" w:cs="Arial"/>
          <w:color w:val="000000"/>
          <w:sz w:val="16"/>
          <w:szCs w:val="16"/>
          <w:rtl/>
          <w:lang w:eastAsia="fr-FR"/>
        </w:rPr>
      </w:pPr>
    </w:p>
    <w:p w:rsidR="0069429C" w:rsidRPr="0069429C" w:rsidRDefault="0069429C" w:rsidP="0069429C">
      <w:pPr>
        <w:numPr>
          <w:ilvl w:val="0"/>
          <w:numId w:val="3"/>
        </w:numPr>
        <w:bidi/>
        <w:spacing w:after="0" w:line="240"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نشر التقارير الرقابية وفقا لأحكام الأمر الحكومي عدد 375 لسنة 2020 المؤرخ في 29 جوان 2020 والمتعلق بتنظيم عملية نشر تقارير هيئات الرقابة وتقارير المتابعة الصادرة عنها،</w:t>
      </w:r>
    </w:p>
    <w:p w:rsidR="0069429C" w:rsidRPr="0069429C" w:rsidRDefault="0069429C" w:rsidP="0069429C">
      <w:pPr>
        <w:bidi/>
        <w:spacing w:after="0" w:line="240" w:lineRule="auto"/>
        <w:ind w:left="720"/>
        <w:contextualSpacing/>
        <w:jc w:val="both"/>
        <w:rPr>
          <w:rFonts w:ascii="Arial" w:eastAsia="Times New Roman" w:hAnsi="Arial" w:cs="Arial"/>
          <w:color w:val="000000"/>
          <w:sz w:val="28"/>
          <w:szCs w:val="28"/>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proofErr w:type="spellStart"/>
      <w:r w:rsidRPr="0069429C">
        <w:rPr>
          <w:rFonts w:ascii="Arial" w:eastAsia="Times New Roman" w:hAnsi="Arial" w:cs="Arial"/>
          <w:color w:val="000000"/>
          <w:sz w:val="28"/>
          <w:szCs w:val="28"/>
          <w:rtl/>
          <w:lang w:eastAsia="fr-FR"/>
        </w:rPr>
        <w:t>إستكمال</w:t>
      </w:r>
      <w:proofErr w:type="spellEnd"/>
      <w:r w:rsidRPr="0069429C">
        <w:rPr>
          <w:rFonts w:ascii="Arial" w:eastAsia="Times New Roman" w:hAnsi="Arial" w:cs="Arial"/>
          <w:color w:val="000000"/>
          <w:sz w:val="28"/>
          <w:szCs w:val="28"/>
          <w:rtl/>
          <w:lang w:eastAsia="fr-FR"/>
        </w:rPr>
        <w:t xml:space="preserve"> </w:t>
      </w:r>
      <w:proofErr w:type="spellStart"/>
      <w:r w:rsidRPr="0069429C">
        <w:rPr>
          <w:rFonts w:ascii="Arial" w:eastAsia="Times New Roman" w:hAnsi="Arial" w:cs="Arial"/>
          <w:color w:val="000000"/>
          <w:sz w:val="28"/>
          <w:szCs w:val="28"/>
          <w:rtl/>
          <w:lang w:eastAsia="fr-FR"/>
        </w:rPr>
        <w:t>رقمنة</w:t>
      </w:r>
      <w:proofErr w:type="spellEnd"/>
      <w:r w:rsidRPr="0069429C">
        <w:rPr>
          <w:rFonts w:ascii="Arial" w:eastAsia="Times New Roman" w:hAnsi="Arial" w:cs="Arial"/>
          <w:color w:val="000000"/>
          <w:sz w:val="28"/>
          <w:szCs w:val="28"/>
          <w:rtl/>
          <w:lang w:eastAsia="fr-FR"/>
        </w:rPr>
        <w:t xml:space="preserve"> مسار أرشفة المعطيات والوثائق،</w:t>
      </w:r>
    </w:p>
    <w:p w:rsidR="0069429C" w:rsidRPr="0069429C" w:rsidRDefault="0069429C" w:rsidP="0069429C">
      <w:pPr>
        <w:bidi/>
        <w:spacing w:after="160" w:line="259" w:lineRule="auto"/>
        <w:ind w:left="720"/>
        <w:contextualSpacing/>
        <w:jc w:val="both"/>
        <w:rPr>
          <w:rFonts w:ascii="Arial" w:eastAsia="Times New Roman" w:hAnsi="Arial" w:cs="Arial"/>
          <w:color w:val="000000"/>
          <w:sz w:val="28"/>
          <w:szCs w:val="28"/>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استكمال إصدار النصوص التطبيقية للقانون عدد 46 لسنة 2018 المؤرخ في 1 أوت 2018 والمتعلّق بالتصريح بالمكاسب والمصالح وبمكافحة الإثراء غير المشروع وتضارب المصالح وتحديدا مشروع الأمر الحكومي المتعلق بضبط أنموذج نشر مضمون التصريح بالمكاسب والمصالح.</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إعداد منصة تفاعلية تربط بين الجماعات المحلية والهيئة العليا للمالية المحلية ومكونات المجتمع المدني تهدف إلى ترسيخ مبادئ اللامركزية والشفافية وتعصير العمل البلدي لمزيد تنسيق الجهود وتوحيدها وتقاسم التجارب وأفصل الممارسات،</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708"/>
          <w:tab w:val="right" w:pos="850"/>
        </w:tabs>
        <w:bidi/>
        <w:spacing w:after="160" w:line="259" w:lineRule="auto"/>
        <w:contextualSpacing/>
        <w:jc w:val="both"/>
        <w:rPr>
          <w:rFonts w:ascii="Arial" w:eastAsia="Times New Roman" w:hAnsi="Arial" w:cs="Arial"/>
          <w:color w:val="000000"/>
          <w:sz w:val="28"/>
          <w:szCs w:val="28"/>
          <w:lang w:eastAsia="fr-FR"/>
        </w:rPr>
      </w:pPr>
      <w:proofErr w:type="gramStart"/>
      <w:r w:rsidRPr="0069429C">
        <w:rPr>
          <w:rFonts w:ascii="Arial" w:eastAsia="Times New Roman" w:hAnsi="Arial" w:cs="Arial"/>
          <w:color w:val="000000"/>
          <w:sz w:val="28"/>
          <w:szCs w:val="28"/>
          <w:rtl/>
          <w:lang w:eastAsia="fr-FR"/>
        </w:rPr>
        <w:t>نشر</w:t>
      </w:r>
      <w:proofErr w:type="gramEnd"/>
      <w:r w:rsidRPr="0069429C">
        <w:rPr>
          <w:rFonts w:ascii="Arial" w:eastAsia="Times New Roman" w:hAnsi="Arial" w:cs="Arial"/>
          <w:color w:val="000000"/>
          <w:sz w:val="28"/>
          <w:szCs w:val="28"/>
          <w:rtl/>
          <w:lang w:eastAsia="fr-FR"/>
        </w:rPr>
        <w:t xml:space="preserve"> تقارير التفقد والتقييم والتدقيق بالهياكل العمومية ونشر التقرير السنوي للهيئة العامة لمراقبة المصاريف العمومية (مقترح الهيئة العامة لمراقبة المصاريف العمومية)،</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العمل على إجبارية نشر التقارير المالية والأدبية لوداديات المؤسسات العمومية (مقترح الهيئة العليا للرقابة الادارية والمالية)،</w:t>
      </w:r>
    </w:p>
    <w:p w:rsidR="0069429C" w:rsidRPr="0069429C" w:rsidRDefault="0069429C" w:rsidP="0069429C">
      <w:pPr>
        <w:bidi/>
        <w:spacing w:after="160" w:line="259" w:lineRule="auto"/>
        <w:jc w:val="both"/>
        <w:rPr>
          <w:rFonts w:ascii="Arial" w:eastAsia="Times New Roman" w:hAnsi="Arial" w:cs="Arial"/>
          <w:color w:val="000000"/>
          <w:sz w:val="28"/>
          <w:szCs w:val="28"/>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proofErr w:type="gramStart"/>
      <w:r w:rsidRPr="0069429C">
        <w:rPr>
          <w:rFonts w:ascii="Arial" w:eastAsia="Times New Roman" w:hAnsi="Arial" w:cs="Arial"/>
          <w:color w:val="000000"/>
          <w:sz w:val="28"/>
          <w:szCs w:val="28"/>
          <w:rtl/>
          <w:lang w:eastAsia="fr-FR"/>
        </w:rPr>
        <w:t>نشر</w:t>
      </w:r>
      <w:proofErr w:type="gramEnd"/>
      <w:r w:rsidRPr="0069429C">
        <w:rPr>
          <w:rFonts w:ascii="Arial" w:eastAsia="Times New Roman" w:hAnsi="Arial" w:cs="Arial"/>
          <w:color w:val="000000"/>
          <w:sz w:val="28"/>
          <w:szCs w:val="28"/>
          <w:lang w:eastAsia="fr-FR"/>
        </w:rPr>
        <w:t xml:space="preserve"> </w:t>
      </w:r>
      <w:r w:rsidRPr="0069429C">
        <w:rPr>
          <w:rFonts w:ascii="Arial" w:eastAsia="Times New Roman" w:hAnsi="Arial" w:cs="Arial"/>
          <w:color w:val="000000"/>
          <w:sz w:val="28"/>
          <w:szCs w:val="28"/>
          <w:rtl/>
          <w:lang w:eastAsia="fr-FR"/>
        </w:rPr>
        <w:t xml:space="preserve">التقرير السنوي لهيئة مراقبي الدولة ونشر ملخص التقارير والمذكرات الرقابية وفقا للمعايير المهنية الدولية المعمول بها في مجال الرقابة، </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 xml:space="preserve">نشر معطيات تهم العمل الحكومي: الحكومة: كلمة رئيس الحكومة، نص مختصر لبرنامج الحكومة/ الجانب التشريعي (القوانين المصادق عليها، مشاريع القوانين المعروضة للمصادقة)/ الجانب الرقابي لعمل الحكومة (الاسئلة </w:t>
      </w:r>
      <w:proofErr w:type="spellStart"/>
      <w:r w:rsidRPr="0069429C">
        <w:rPr>
          <w:rFonts w:ascii="Arial" w:eastAsia="Times New Roman" w:hAnsi="Arial" w:cs="Arial"/>
          <w:color w:val="000000"/>
          <w:sz w:val="28"/>
          <w:szCs w:val="28"/>
          <w:rtl/>
          <w:lang w:eastAsia="fr-FR"/>
        </w:rPr>
        <w:t>المتابية</w:t>
      </w:r>
      <w:proofErr w:type="spellEnd"/>
      <w:r w:rsidRPr="0069429C">
        <w:rPr>
          <w:rFonts w:ascii="Arial" w:eastAsia="Times New Roman" w:hAnsi="Arial" w:cs="Arial"/>
          <w:color w:val="000000"/>
          <w:sz w:val="28"/>
          <w:szCs w:val="28"/>
          <w:rtl/>
          <w:lang w:eastAsia="fr-FR"/>
        </w:rPr>
        <w:t>، الاسئلة الشفاهية، جلسات الاستماع على مستوى اللجان البرلمانية، الجلسات العامة المخصصة للحوار (مقترح مصالح الوزير لدى رئيس الحكومة المكلف بالعلاقات مع مجلس النواب)،</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 xml:space="preserve">ربط الموقع الخاص بأهداف التنمية المستدامة </w:t>
      </w:r>
      <w:r w:rsidRPr="0069429C">
        <w:rPr>
          <w:rFonts w:ascii="Arial" w:eastAsia="Times New Roman" w:hAnsi="Arial" w:cs="Arial"/>
          <w:color w:val="000000"/>
          <w:sz w:val="28"/>
          <w:szCs w:val="28"/>
          <w:lang w:eastAsia="fr-FR"/>
        </w:rPr>
        <w:t>www.tunisiaodd.tn</w:t>
      </w:r>
      <w:r w:rsidRPr="0069429C">
        <w:rPr>
          <w:rFonts w:ascii="Arial" w:eastAsia="Times New Roman" w:hAnsi="Arial" w:cs="Arial"/>
          <w:color w:val="000000"/>
          <w:sz w:val="28"/>
          <w:szCs w:val="28"/>
          <w:rtl/>
          <w:lang w:eastAsia="fr-FR"/>
        </w:rPr>
        <w:t xml:space="preserve"> الذي طورته الوزارة مع المراصد بعدد من الوزارات القطاعية</w:t>
      </w:r>
      <w:r w:rsidRPr="0069429C">
        <w:rPr>
          <w:rFonts w:ascii="Arial" w:eastAsia="Times New Roman" w:hAnsi="Arial" w:cs="Arial"/>
          <w:color w:val="000000"/>
          <w:sz w:val="28"/>
          <w:szCs w:val="28"/>
          <w:rtl/>
          <w:lang w:eastAsia="fr-FR" w:bidi="ar-TN"/>
        </w:rPr>
        <w:t>،</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Calibri" w:hAnsi="Arial" w:cs="Arial"/>
          <w:sz w:val="28"/>
          <w:szCs w:val="28"/>
          <w:rtl/>
        </w:rPr>
        <w:t xml:space="preserve">وضع منصة الكترونية بولاية زغوان تجمع مختلف الهياكل العمومية الجهوية </w:t>
      </w:r>
      <w:r w:rsidRPr="0069429C">
        <w:rPr>
          <w:rFonts w:ascii="Arial" w:eastAsia="Calibri" w:hAnsi="Arial" w:cs="Arial" w:hint="cs"/>
          <w:sz w:val="28"/>
          <w:szCs w:val="28"/>
          <w:rtl/>
        </w:rPr>
        <w:t>و</w:t>
      </w:r>
      <w:r w:rsidRPr="0069429C">
        <w:rPr>
          <w:rFonts w:ascii="Arial" w:eastAsia="Calibri" w:hAnsi="Arial" w:cs="Arial"/>
          <w:sz w:val="28"/>
          <w:szCs w:val="28"/>
          <w:rtl/>
        </w:rPr>
        <w:t>تمكن من الاطلاع على نسق تقدم المشاريع والبرامج ال</w:t>
      </w:r>
      <w:r w:rsidRPr="0069429C">
        <w:rPr>
          <w:rFonts w:ascii="Arial" w:eastAsia="Calibri" w:hAnsi="Arial" w:cs="Arial" w:hint="cs"/>
          <w:sz w:val="28"/>
          <w:szCs w:val="28"/>
          <w:rtl/>
        </w:rPr>
        <w:t>ج</w:t>
      </w:r>
      <w:r w:rsidRPr="0069429C">
        <w:rPr>
          <w:rFonts w:ascii="Arial" w:eastAsia="Calibri" w:hAnsi="Arial" w:cs="Arial"/>
          <w:sz w:val="28"/>
          <w:szCs w:val="28"/>
          <w:rtl/>
        </w:rPr>
        <w:t>هوية</w:t>
      </w:r>
      <w:r w:rsidRPr="0069429C">
        <w:rPr>
          <w:rFonts w:ascii="Arial" w:eastAsia="Calibri" w:hAnsi="Arial" w:cs="Arial" w:hint="cs"/>
          <w:sz w:val="28"/>
          <w:szCs w:val="28"/>
          <w:rtl/>
        </w:rPr>
        <w:t>،</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تبيان المؤسسات التربوية وتوزيعية الخارطة المدرسية (جغرافية المؤسسات التربوية، عدد الفصول والاقسام،....)</w:t>
      </w:r>
      <w:r w:rsidRPr="0069429C">
        <w:rPr>
          <w:rFonts w:ascii="Arial" w:eastAsia="Times New Roman" w:hAnsi="Arial" w:cs="Arial"/>
          <w:color w:val="000000"/>
          <w:sz w:val="28"/>
          <w:szCs w:val="28"/>
          <w:lang w:eastAsia="fr-FR"/>
        </w:rPr>
        <w:t>+</w:t>
      </w:r>
      <w:r w:rsidRPr="0069429C">
        <w:rPr>
          <w:rFonts w:ascii="Calibri" w:eastAsia="Calibri" w:hAnsi="Calibri" w:cs="Arial"/>
          <w:rtl/>
        </w:rPr>
        <w:t xml:space="preserve"> </w:t>
      </w:r>
      <w:r w:rsidRPr="0069429C">
        <w:rPr>
          <w:rFonts w:ascii="Arial" w:eastAsia="Times New Roman" w:hAnsi="Arial" w:cs="Arial"/>
          <w:color w:val="000000"/>
          <w:sz w:val="28"/>
          <w:szCs w:val="28"/>
          <w:rtl/>
          <w:lang w:eastAsia="fr-FR"/>
        </w:rPr>
        <w:t>البنية التحتية للمؤسسات التربوية (شبكة المياه، الشبكة الكهربائية،  الصرف الصحي)</w:t>
      </w:r>
      <w:r w:rsidRPr="0069429C">
        <w:rPr>
          <w:rFonts w:ascii="Arial" w:eastAsia="Times New Roman" w:hAnsi="Arial" w:cs="Arial" w:hint="cs"/>
          <w:color w:val="000000"/>
          <w:sz w:val="28"/>
          <w:szCs w:val="28"/>
          <w:rtl/>
          <w:lang w:eastAsia="fr-FR" w:bidi="ar-TN"/>
        </w:rPr>
        <w:t>،</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 xml:space="preserve">دعم الشفافية من خلال تسويق المقاسم </w:t>
      </w:r>
      <w:proofErr w:type="gramStart"/>
      <w:r w:rsidRPr="0069429C">
        <w:rPr>
          <w:rFonts w:ascii="Arial" w:eastAsia="Times New Roman" w:hAnsi="Arial" w:cs="Arial"/>
          <w:color w:val="000000"/>
          <w:sz w:val="28"/>
          <w:szCs w:val="28"/>
          <w:rtl/>
          <w:lang w:eastAsia="fr-FR"/>
        </w:rPr>
        <w:t>الصناعية</w:t>
      </w:r>
      <w:proofErr w:type="gramEnd"/>
      <w:r w:rsidRPr="0069429C">
        <w:rPr>
          <w:rFonts w:ascii="Arial" w:eastAsia="Times New Roman" w:hAnsi="Arial" w:cs="Arial"/>
          <w:color w:val="000000"/>
          <w:sz w:val="28"/>
          <w:szCs w:val="28"/>
          <w:rtl/>
          <w:lang w:eastAsia="fr-FR"/>
        </w:rPr>
        <w:t xml:space="preserve"> للوكالة العقارية الصناعية على الخط</w:t>
      </w:r>
      <w:r w:rsidRPr="0069429C">
        <w:rPr>
          <w:rFonts w:ascii="Arial" w:eastAsia="Times New Roman" w:hAnsi="Arial" w:cs="Arial" w:hint="cs"/>
          <w:color w:val="000000"/>
          <w:sz w:val="28"/>
          <w:szCs w:val="28"/>
          <w:rtl/>
          <w:lang w:eastAsia="fr-FR"/>
        </w:rPr>
        <w:t>،</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hint="cs"/>
          <w:color w:val="000000"/>
          <w:sz w:val="28"/>
          <w:szCs w:val="28"/>
          <w:rtl/>
          <w:lang w:eastAsia="fr-FR"/>
        </w:rPr>
        <w:t>نشر قائمة المؤسسات الداعمة للدراسات العلمية ودراسات المؤثرات للمشاريع المتعلقة بالبيئة والموارد الطبيعية.</w:t>
      </w:r>
    </w:p>
    <w:p w:rsidR="0069429C" w:rsidRPr="0069429C" w:rsidRDefault="0069429C" w:rsidP="0069429C">
      <w:pPr>
        <w:bidi/>
        <w:spacing w:after="160" w:line="259" w:lineRule="auto"/>
        <w:rPr>
          <w:rFonts w:ascii="Arial" w:eastAsia="Calibri" w:hAnsi="Arial" w:cs="Arial"/>
          <w:sz w:val="28"/>
          <w:szCs w:val="28"/>
          <w:rtl/>
        </w:rPr>
      </w:pPr>
    </w:p>
    <w:p w:rsidR="0069429C" w:rsidRPr="0069429C" w:rsidRDefault="0069429C" w:rsidP="0069429C">
      <w:pPr>
        <w:bidi/>
        <w:spacing w:after="160" w:line="259" w:lineRule="auto"/>
        <w:rPr>
          <w:rFonts w:ascii="Arial" w:eastAsia="Calibri" w:hAnsi="Arial" w:cs="Arial"/>
          <w:b/>
          <w:bCs/>
          <w:sz w:val="28"/>
          <w:szCs w:val="28"/>
          <w:rtl/>
        </w:rPr>
      </w:pPr>
      <w:proofErr w:type="gramStart"/>
      <w:r w:rsidRPr="0069429C">
        <w:rPr>
          <w:rFonts w:ascii="Arial" w:eastAsia="Calibri" w:hAnsi="Arial" w:cs="Arial"/>
          <w:b/>
          <w:bCs/>
          <w:color w:val="2F5496"/>
          <w:sz w:val="28"/>
          <w:szCs w:val="28"/>
          <w:u w:val="single"/>
          <w:rtl/>
        </w:rPr>
        <w:t>البينات</w:t>
      </w:r>
      <w:proofErr w:type="gramEnd"/>
      <w:r w:rsidRPr="0069429C">
        <w:rPr>
          <w:rFonts w:ascii="Arial" w:eastAsia="Calibri" w:hAnsi="Arial" w:cs="Arial"/>
          <w:b/>
          <w:bCs/>
          <w:color w:val="2F5496"/>
          <w:sz w:val="28"/>
          <w:szCs w:val="28"/>
          <w:u w:val="single"/>
          <w:rtl/>
        </w:rPr>
        <w:t xml:space="preserve"> المفتوحة:</w:t>
      </w: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r w:rsidRPr="0069429C">
        <w:rPr>
          <w:rFonts w:ascii="Arial" w:eastAsia="Calibri" w:hAnsi="Arial" w:cs="Arial"/>
          <w:sz w:val="28"/>
          <w:szCs w:val="28"/>
          <w:rtl/>
        </w:rPr>
        <w:t xml:space="preserve">إرساء الإطار التنظيمي ووضع خطة </w:t>
      </w:r>
      <w:proofErr w:type="gramStart"/>
      <w:r w:rsidRPr="0069429C">
        <w:rPr>
          <w:rFonts w:ascii="Arial" w:eastAsia="Calibri" w:hAnsi="Arial" w:cs="Arial"/>
          <w:sz w:val="28"/>
          <w:szCs w:val="28"/>
          <w:rtl/>
        </w:rPr>
        <w:t>عمل</w:t>
      </w:r>
      <w:proofErr w:type="gramEnd"/>
      <w:r w:rsidRPr="0069429C">
        <w:rPr>
          <w:rFonts w:ascii="Arial" w:eastAsia="Calibri" w:hAnsi="Arial" w:cs="Arial"/>
          <w:sz w:val="28"/>
          <w:szCs w:val="28"/>
          <w:rtl/>
        </w:rPr>
        <w:t xml:space="preserve"> لمتابعة تنفيذ الأمر الخاص بالبيانات العمومية المفتوحة،</w:t>
      </w: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r w:rsidRPr="0069429C">
        <w:rPr>
          <w:rFonts w:ascii="Arial" w:eastAsia="Calibri" w:hAnsi="Arial" w:cs="Arial"/>
          <w:sz w:val="28"/>
          <w:szCs w:val="28"/>
          <w:rtl/>
        </w:rPr>
        <w:t xml:space="preserve">الانطلاق في نشر البيانات المتاحة حاليا في عدد من المنظومات الوطنية والقطاعية والتي توفّر أرضية تكنولوجية لفتح البيانات الموجودة بها على غرار منظومات </w:t>
      </w:r>
      <w:proofErr w:type="spellStart"/>
      <w:r w:rsidRPr="0069429C">
        <w:rPr>
          <w:rFonts w:ascii="Arial" w:eastAsia="Calibri" w:hAnsi="Arial" w:cs="Arial"/>
          <w:sz w:val="28"/>
          <w:szCs w:val="28"/>
          <w:rtl/>
        </w:rPr>
        <w:t>عليسة</w:t>
      </w:r>
      <w:proofErr w:type="spellEnd"/>
      <w:r w:rsidRPr="0069429C">
        <w:rPr>
          <w:rFonts w:ascii="Arial" w:eastAsia="Calibri" w:hAnsi="Arial" w:cs="Arial"/>
          <w:sz w:val="28"/>
          <w:szCs w:val="28"/>
          <w:rtl/>
        </w:rPr>
        <w:t>، أدب وإنصاف، إلخ،</w:t>
      </w:r>
    </w:p>
    <w:p w:rsidR="0069429C" w:rsidRPr="0069429C" w:rsidRDefault="0069429C" w:rsidP="0069429C">
      <w:pPr>
        <w:bidi/>
        <w:spacing w:after="160" w:line="259" w:lineRule="auto"/>
        <w:ind w:left="720"/>
        <w:contextualSpacing/>
        <w:rPr>
          <w:rFonts w:ascii="Arial" w:eastAsia="Calibri" w:hAnsi="Arial" w:cs="Arial"/>
          <w:sz w:val="28"/>
          <w:szCs w:val="28"/>
        </w:rPr>
      </w:pP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r w:rsidRPr="0069429C">
        <w:rPr>
          <w:rFonts w:ascii="Arial" w:eastAsia="Calibri" w:hAnsi="Arial" w:cs="Arial"/>
          <w:sz w:val="28"/>
          <w:szCs w:val="28"/>
          <w:rtl/>
        </w:rPr>
        <w:t xml:space="preserve">ضرورة وضع مرجعيات بمختلف القطاعات لتيسير فتح البيانات على غرار المرجعية الخاصة بمحطات النقل البري التي يتمّ إعدادها في إطار الخطة الثالثة لشراكة الحكومة المفتوحة. </w:t>
      </w:r>
      <w:proofErr w:type="gramStart"/>
      <w:r w:rsidRPr="0069429C">
        <w:rPr>
          <w:rFonts w:ascii="Arial" w:eastAsia="Calibri" w:hAnsi="Arial" w:cs="Arial"/>
          <w:sz w:val="28"/>
          <w:szCs w:val="28"/>
          <w:rtl/>
        </w:rPr>
        <w:t>وبالنسبة</w:t>
      </w:r>
      <w:proofErr w:type="gramEnd"/>
      <w:r w:rsidRPr="0069429C">
        <w:rPr>
          <w:rFonts w:ascii="Arial" w:eastAsia="Calibri" w:hAnsi="Arial" w:cs="Arial"/>
          <w:sz w:val="28"/>
          <w:szCs w:val="28"/>
          <w:rtl/>
        </w:rPr>
        <w:t xml:space="preserve"> لهذا المجال، يتعين التنسيق مع المعهد الوطني للإحصاء،</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r w:rsidRPr="0069429C">
        <w:rPr>
          <w:rFonts w:ascii="Arial" w:eastAsia="Calibri" w:hAnsi="Arial" w:cs="Arial"/>
          <w:sz w:val="28"/>
          <w:szCs w:val="28"/>
          <w:rtl/>
        </w:rPr>
        <w:lastRenderedPageBreak/>
        <w:t>اقتراح تحديد محاور استراتيجية لفتح البيانات قصد العمل على فتح مجموعات البيانات المتصلة بها مع تشريك مختلف الأطراف المتدخلة</w:t>
      </w:r>
      <w:r w:rsidRPr="0069429C">
        <w:rPr>
          <w:rFonts w:ascii="Arial" w:eastAsia="Calibri" w:hAnsi="Arial" w:cs="Arial"/>
          <w:sz w:val="28"/>
          <w:szCs w:val="28"/>
          <w:rtl/>
          <w:lang w:bidi="ar-TN"/>
        </w:rPr>
        <w:t>،</w:t>
      </w:r>
    </w:p>
    <w:p w:rsidR="0069429C" w:rsidRPr="0069429C" w:rsidRDefault="0069429C" w:rsidP="0069429C">
      <w:pPr>
        <w:numPr>
          <w:ilvl w:val="0"/>
          <w:numId w:val="4"/>
        </w:numPr>
        <w:bidi/>
        <w:spacing w:after="160" w:line="259" w:lineRule="auto"/>
        <w:contextualSpacing/>
        <w:jc w:val="both"/>
        <w:rPr>
          <w:rFonts w:ascii="Arial" w:eastAsia="Times New Roman" w:hAnsi="Arial" w:cs="Arial"/>
          <w:color w:val="000000"/>
          <w:sz w:val="28"/>
          <w:szCs w:val="28"/>
          <w:lang w:eastAsia="fr-FR"/>
        </w:rPr>
      </w:pPr>
      <w:r w:rsidRPr="0069429C">
        <w:rPr>
          <w:rFonts w:ascii="Arial" w:eastAsia="Calibri" w:hAnsi="Arial" w:cs="Arial"/>
          <w:sz w:val="28"/>
          <w:szCs w:val="28"/>
          <w:rtl/>
        </w:rPr>
        <w:t>فتح البيانات المتعلقة بمهمات المراجعة القانونية للمؤسسات والمنشآت العمومية والمساهمة في ارساء منصة موحدة للبيانات المفتوحة خاصة بالمؤسسات والمنشآت العمومية</w:t>
      </w:r>
      <w:r w:rsidRPr="0069429C">
        <w:rPr>
          <w:rFonts w:ascii="Arial" w:eastAsia="Calibri" w:hAnsi="Arial" w:cs="Arial"/>
          <w:sz w:val="28"/>
          <w:szCs w:val="28"/>
        </w:rPr>
        <w:t xml:space="preserve"> </w:t>
      </w:r>
      <w:r w:rsidRPr="0069429C">
        <w:rPr>
          <w:rFonts w:ascii="Arial" w:eastAsia="Times New Roman" w:hAnsi="Arial" w:cs="Arial"/>
          <w:color w:val="000000"/>
          <w:sz w:val="28"/>
          <w:szCs w:val="28"/>
          <w:rtl/>
          <w:lang w:eastAsia="fr-FR"/>
        </w:rPr>
        <w:t>(مقترح هيئة مراقبي الدولة)،</w:t>
      </w: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r w:rsidRPr="0069429C">
        <w:rPr>
          <w:rFonts w:ascii="Arial" w:eastAsia="Calibri" w:hAnsi="Arial" w:cs="Arial"/>
          <w:sz w:val="28"/>
          <w:szCs w:val="28"/>
          <w:rtl/>
        </w:rPr>
        <w:t>إحداث منصة للبيانات المفتوحة بوزارة الداخلية وربطها بالبوابة الوطنية للبيانات المفتوحة،</w:t>
      </w:r>
    </w:p>
    <w:p w:rsidR="0069429C" w:rsidRPr="0069429C" w:rsidRDefault="0069429C" w:rsidP="0069429C">
      <w:pPr>
        <w:bidi/>
        <w:spacing w:after="160" w:line="259" w:lineRule="auto"/>
        <w:ind w:left="720"/>
        <w:contextualSpacing/>
        <w:rPr>
          <w:rFonts w:ascii="Arial" w:eastAsia="Calibri" w:hAnsi="Arial" w:cs="Arial"/>
          <w:sz w:val="28"/>
          <w:szCs w:val="28"/>
        </w:rPr>
      </w:pPr>
    </w:p>
    <w:p w:rsidR="0069429C" w:rsidRPr="0069429C" w:rsidRDefault="0069429C" w:rsidP="0069429C">
      <w:pPr>
        <w:numPr>
          <w:ilvl w:val="0"/>
          <w:numId w:val="4"/>
        </w:numPr>
        <w:bidi/>
        <w:spacing w:after="160" w:line="259" w:lineRule="auto"/>
        <w:contextualSpacing/>
        <w:rPr>
          <w:rFonts w:ascii="Arial" w:eastAsia="Calibri" w:hAnsi="Arial" w:cs="Arial"/>
          <w:sz w:val="28"/>
          <w:szCs w:val="28"/>
        </w:rPr>
      </w:pPr>
      <w:proofErr w:type="gramStart"/>
      <w:r w:rsidRPr="0069429C">
        <w:rPr>
          <w:rFonts w:ascii="Arial" w:eastAsia="Calibri" w:hAnsi="Arial" w:cs="Arial"/>
          <w:sz w:val="28"/>
          <w:szCs w:val="28"/>
          <w:rtl/>
        </w:rPr>
        <w:t>تطوير</w:t>
      </w:r>
      <w:proofErr w:type="gramEnd"/>
      <w:r w:rsidRPr="0069429C">
        <w:rPr>
          <w:rFonts w:ascii="Arial" w:eastAsia="Calibri" w:hAnsi="Arial" w:cs="Arial"/>
          <w:sz w:val="28"/>
          <w:szCs w:val="28"/>
          <w:rtl/>
        </w:rPr>
        <w:t xml:space="preserve"> البيانات المفتوحة للخدمات الاجتماعية</w:t>
      </w:r>
      <w:r w:rsidRPr="0069429C">
        <w:rPr>
          <w:rFonts w:ascii="Arial" w:eastAsia="Calibri" w:hAnsi="Arial" w:cs="Arial"/>
          <w:sz w:val="28"/>
          <w:szCs w:val="28"/>
        </w:rPr>
        <w:t xml:space="preserve"> +</w:t>
      </w:r>
      <w:r w:rsidRPr="0069429C">
        <w:rPr>
          <w:rFonts w:ascii="Arial" w:eastAsia="Calibri" w:hAnsi="Arial" w:cs="Arial"/>
          <w:sz w:val="28"/>
          <w:szCs w:val="28"/>
          <w:rtl/>
        </w:rPr>
        <w:t>تعميم نشر الهيكل المختص في تلقي بلاغات عن شبهات الفساد في البوابات الرسمية للوزارات والهياكل العمومية</w:t>
      </w:r>
      <w:r w:rsidRPr="0069429C">
        <w:rPr>
          <w:rFonts w:ascii="Arial" w:eastAsia="Calibri" w:hAnsi="Arial" w:cs="Arial" w:hint="cs"/>
          <w:sz w:val="28"/>
          <w:szCs w:val="28"/>
          <w:rtl/>
        </w:rPr>
        <w:t>،</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4"/>
        </w:numPr>
        <w:bidi/>
        <w:spacing w:after="160" w:line="259" w:lineRule="auto"/>
        <w:contextualSpacing/>
        <w:jc w:val="both"/>
        <w:rPr>
          <w:rFonts w:ascii="Arial" w:eastAsia="Calibri" w:hAnsi="Arial" w:cs="Arial"/>
          <w:sz w:val="28"/>
          <w:szCs w:val="28"/>
        </w:rPr>
      </w:pPr>
      <w:r w:rsidRPr="0069429C">
        <w:rPr>
          <w:rFonts w:ascii="Arial" w:eastAsia="Calibri" w:hAnsi="Arial" w:cs="Arial"/>
          <w:sz w:val="28"/>
          <w:szCs w:val="28"/>
          <w:rtl/>
        </w:rPr>
        <w:t xml:space="preserve">انفتاح </w:t>
      </w:r>
      <w:r w:rsidRPr="0069429C">
        <w:rPr>
          <w:rFonts w:ascii="Arial" w:eastAsia="Calibri" w:hAnsi="Arial" w:cs="Arial" w:hint="cs"/>
          <w:sz w:val="28"/>
          <w:szCs w:val="28"/>
          <w:rtl/>
        </w:rPr>
        <w:t>وزارة التعليم العالي</w:t>
      </w:r>
      <w:r w:rsidRPr="0069429C">
        <w:rPr>
          <w:rFonts w:ascii="Arial" w:eastAsia="Calibri" w:hAnsi="Arial" w:cs="Arial"/>
          <w:sz w:val="28"/>
          <w:szCs w:val="28"/>
          <w:rtl/>
        </w:rPr>
        <w:t xml:space="preserve"> على المتعاملين معها: تطوير منظومة "سليمة" التي تسهل نفاذ الطلبة إلى المعلومة المتعلقة بالمسار الجامعي</w:t>
      </w:r>
      <w:r w:rsidRPr="0069429C">
        <w:rPr>
          <w:rFonts w:ascii="Arial" w:eastAsia="Calibri" w:hAnsi="Arial" w:cs="Arial" w:hint="cs"/>
          <w:sz w:val="28"/>
          <w:szCs w:val="28"/>
          <w:rtl/>
        </w:rPr>
        <w:t xml:space="preserve">/ </w:t>
      </w:r>
      <w:proofErr w:type="spellStart"/>
      <w:r w:rsidRPr="0069429C">
        <w:rPr>
          <w:rFonts w:ascii="Arial" w:eastAsia="Calibri" w:hAnsi="Arial" w:cs="Arial"/>
          <w:sz w:val="28"/>
          <w:szCs w:val="28"/>
          <w:rtl/>
        </w:rPr>
        <w:t>حوكمة</w:t>
      </w:r>
      <w:proofErr w:type="spellEnd"/>
      <w:r w:rsidRPr="0069429C">
        <w:rPr>
          <w:rFonts w:ascii="Arial" w:eastAsia="Calibri" w:hAnsi="Arial" w:cs="Arial"/>
          <w:sz w:val="28"/>
          <w:szCs w:val="28"/>
          <w:rtl/>
        </w:rPr>
        <w:t xml:space="preserve"> البحث العلمي:</w:t>
      </w:r>
      <w:r w:rsidRPr="0069429C">
        <w:rPr>
          <w:rFonts w:ascii="Arial" w:eastAsia="Calibri" w:hAnsi="Arial" w:cs="Arial" w:hint="cs"/>
          <w:sz w:val="28"/>
          <w:szCs w:val="28"/>
          <w:rtl/>
        </w:rPr>
        <w:t xml:space="preserve"> </w:t>
      </w:r>
      <w:r w:rsidRPr="0069429C">
        <w:rPr>
          <w:rFonts w:ascii="Arial" w:eastAsia="Calibri" w:hAnsi="Arial" w:cs="Arial"/>
          <w:sz w:val="28"/>
          <w:szCs w:val="28"/>
          <w:rtl/>
        </w:rPr>
        <w:t xml:space="preserve">اعتماد استراتيجية وطنية لتبني خيار النفاذ المفتوح </w:t>
      </w:r>
      <w:r w:rsidRPr="0069429C">
        <w:rPr>
          <w:rFonts w:ascii="Arial" w:eastAsia="Calibri" w:hAnsi="Arial" w:cs="Arial"/>
          <w:sz w:val="28"/>
          <w:szCs w:val="28"/>
        </w:rPr>
        <w:t>Open Access</w:t>
      </w:r>
      <w:r w:rsidRPr="0069429C">
        <w:rPr>
          <w:rFonts w:ascii="Arial" w:eastAsia="Calibri" w:hAnsi="Arial" w:cs="Arial"/>
          <w:sz w:val="28"/>
          <w:szCs w:val="28"/>
          <w:rtl/>
        </w:rPr>
        <w:t xml:space="preserve"> للمنشورات العلمية الممولة من المال العام+ تعميم استغلال المستودع الجامعي </w:t>
      </w:r>
      <w:r w:rsidRPr="0069429C">
        <w:rPr>
          <w:rFonts w:ascii="Arial" w:eastAsia="Calibri" w:hAnsi="Arial" w:cs="Arial"/>
          <w:sz w:val="28"/>
          <w:szCs w:val="28"/>
        </w:rPr>
        <w:t>AOUT</w:t>
      </w:r>
      <w:r w:rsidRPr="0069429C">
        <w:rPr>
          <w:rFonts w:ascii="Arial" w:eastAsia="Calibri" w:hAnsi="Arial" w:cs="Arial"/>
          <w:sz w:val="28"/>
          <w:szCs w:val="28"/>
          <w:rtl/>
        </w:rPr>
        <w:t xml:space="preserve"> المتاح عبر بوابة الإعلام العلمي التونسي </w:t>
      </w:r>
      <w:r w:rsidRPr="0069429C">
        <w:rPr>
          <w:rFonts w:ascii="Arial" w:eastAsia="Calibri" w:hAnsi="Arial" w:cs="Arial"/>
          <w:sz w:val="28"/>
          <w:szCs w:val="28"/>
        </w:rPr>
        <w:t>PIST.TN</w:t>
      </w:r>
      <w:r w:rsidRPr="0069429C">
        <w:rPr>
          <w:rFonts w:ascii="Arial" w:eastAsia="Calibri" w:hAnsi="Arial" w:cs="Arial"/>
          <w:sz w:val="28"/>
          <w:szCs w:val="28"/>
          <w:rtl/>
        </w:rPr>
        <w:t>على كافة الجامعات + وضع واستغلال كشاف موحد للموارد الالكترونية يعتمد توفير منصة بحث موحدة تدمج جميع الموارد الالكترونية المتاحة عبر الاشتراكات الوطنية لفائدة المجموعة العلمية التونسية في مختلف المجالات العلمية+</w:t>
      </w:r>
      <w:r w:rsidRPr="0069429C">
        <w:rPr>
          <w:rFonts w:ascii="Arial" w:eastAsia="Calibri" w:hAnsi="Arial" w:cs="Arial" w:hint="cs"/>
          <w:sz w:val="28"/>
          <w:szCs w:val="28"/>
          <w:rtl/>
        </w:rPr>
        <w:t xml:space="preserve"> </w:t>
      </w:r>
      <w:r w:rsidRPr="0069429C">
        <w:rPr>
          <w:rFonts w:ascii="Arial" w:eastAsia="Calibri" w:hAnsi="Arial" w:cs="Arial"/>
          <w:sz w:val="28"/>
          <w:szCs w:val="28"/>
          <w:rtl/>
        </w:rPr>
        <w:t>نشر المعطيات الإدارية ومشاريع البحث الجارية وقائمة المعدّات العلمية</w:t>
      </w:r>
      <w:r w:rsidRPr="0069429C">
        <w:rPr>
          <w:rFonts w:ascii="Arial" w:eastAsia="Calibri" w:hAnsi="Arial" w:cs="Arial" w:hint="cs"/>
          <w:sz w:val="28"/>
          <w:szCs w:val="28"/>
          <w:rtl/>
        </w:rPr>
        <w:t>،</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4"/>
        </w:numPr>
        <w:bidi/>
        <w:spacing w:after="160" w:line="259" w:lineRule="auto"/>
        <w:contextualSpacing/>
        <w:jc w:val="both"/>
        <w:rPr>
          <w:rFonts w:ascii="Arial" w:eastAsia="Calibri" w:hAnsi="Arial" w:cs="Arial"/>
          <w:sz w:val="28"/>
          <w:szCs w:val="28"/>
        </w:rPr>
      </w:pPr>
      <w:r w:rsidRPr="0069429C">
        <w:rPr>
          <w:rFonts w:ascii="Arial" w:eastAsia="Calibri" w:hAnsi="Arial" w:cs="Arial"/>
          <w:sz w:val="28"/>
          <w:szCs w:val="28"/>
          <w:rtl/>
        </w:rPr>
        <w:t xml:space="preserve">فتح البيانات المتعلقة بالملك العمومي للمساجد عبر </w:t>
      </w:r>
      <w:proofErr w:type="spellStart"/>
      <w:r w:rsidRPr="0069429C">
        <w:rPr>
          <w:rFonts w:ascii="Arial" w:eastAsia="Calibri" w:hAnsi="Arial" w:cs="Arial"/>
          <w:sz w:val="28"/>
          <w:szCs w:val="28"/>
          <w:rtl/>
        </w:rPr>
        <w:t>تطبيقة</w:t>
      </w:r>
      <w:proofErr w:type="spellEnd"/>
      <w:r w:rsidRPr="0069429C">
        <w:rPr>
          <w:rFonts w:ascii="Arial" w:eastAsia="Calibri" w:hAnsi="Arial" w:cs="Arial"/>
          <w:sz w:val="28"/>
          <w:szCs w:val="28"/>
          <w:rtl/>
        </w:rPr>
        <w:t xml:space="preserve"> الكترونية لخارطة </w:t>
      </w:r>
      <w:proofErr w:type="spellStart"/>
      <w:r w:rsidRPr="0069429C">
        <w:rPr>
          <w:rFonts w:ascii="Arial" w:eastAsia="Calibri" w:hAnsi="Arial" w:cs="Arial"/>
          <w:sz w:val="28"/>
          <w:szCs w:val="28"/>
          <w:rtl/>
        </w:rPr>
        <w:t>مسجدية</w:t>
      </w:r>
      <w:proofErr w:type="spellEnd"/>
      <w:r w:rsidRPr="0069429C">
        <w:rPr>
          <w:rFonts w:ascii="Arial" w:eastAsia="Calibri" w:hAnsi="Arial" w:cs="Arial" w:hint="cs"/>
          <w:sz w:val="28"/>
          <w:szCs w:val="28"/>
          <w:rtl/>
        </w:rPr>
        <w:t>،</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4"/>
        </w:numPr>
        <w:tabs>
          <w:tab w:val="right" w:pos="992"/>
        </w:tabs>
        <w:bidi/>
        <w:spacing w:after="160" w:line="259" w:lineRule="auto"/>
        <w:contextualSpacing/>
        <w:jc w:val="both"/>
        <w:rPr>
          <w:rFonts w:ascii="Arial" w:eastAsia="Calibri" w:hAnsi="Arial" w:cs="Arial"/>
          <w:sz w:val="28"/>
          <w:szCs w:val="28"/>
        </w:rPr>
      </w:pPr>
      <w:proofErr w:type="gramStart"/>
      <w:r w:rsidRPr="0069429C">
        <w:rPr>
          <w:rFonts w:ascii="Arial" w:eastAsia="Calibri" w:hAnsi="Arial" w:cs="Arial"/>
          <w:sz w:val="28"/>
          <w:szCs w:val="28"/>
          <w:rtl/>
        </w:rPr>
        <w:t>تركيز</w:t>
      </w:r>
      <w:proofErr w:type="gramEnd"/>
      <w:r w:rsidRPr="0069429C">
        <w:rPr>
          <w:rFonts w:ascii="Arial" w:eastAsia="Calibri" w:hAnsi="Arial" w:cs="Arial"/>
          <w:sz w:val="28"/>
          <w:szCs w:val="28"/>
          <w:rtl/>
        </w:rPr>
        <w:t> بوابة بيانات مفتوحة خاصة بالهيئات العمومية المستقلة أو تطوير محتوى الجزء المخصص لها في البوابة الوطنية</w:t>
      </w:r>
      <w:r w:rsidRPr="0069429C">
        <w:rPr>
          <w:rFonts w:ascii="Arial" w:eastAsia="Calibri" w:hAnsi="Arial" w:cs="Arial" w:hint="cs"/>
          <w:sz w:val="28"/>
          <w:szCs w:val="28"/>
          <w:rtl/>
        </w:rPr>
        <w:t>،</w:t>
      </w:r>
    </w:p>
    <w:p w:rsidR="0069429C" w:rsidRPr="0069429C" w:rsidRDefault="0069429C" w:rsidP="0069429C">
      <w:pPr>
        <w:spacing w:after="160" w:line="259" w:lineRule="auto"/>
        <w:ind w:left="720"/>
        <w:contextualSpacing/>
        <w:rPr>
          <w:rFonts w:ascii="Arial" w:eastAsia="Times New Roman" w:hAnsi="Arial" w:cs="Arial"/>
          <w:color w:val="000000"/>
          <w:sz w:val="28"/>
          <w:szCs w:val="28"/>
          <w:rtl/>
          <w:lang w:eastAsia="fr-FR"/>
        </w:rPr>
      </w:pPr>
    </w:p>
    <w:p w:rsidR="0069429C" w:rsidRPr="0069429C" w:rsidRDefault="0069429C" w:rsidP="0069429C">
      <w:pPr>
        <w:numPr>
          <w:ilvl w:val="0"/>
          <w:numId w:val="4"/>
        </w:numPr>
        <w:tabs>
          <w:tab w:val="right" w:pos="992"/>
        </w:tabs>
        <w:bidi/>
        <w:spacing w:after="160" w:line="259" w:lineRule="auto"/>
        <w:contextualSpacing/>
        <w:jc w:val="both"/>
        <w:rPr>
          <w:rFonts w:ascii="Arial" w:eastAsia="Calibri" w:hAnsi="Arial" w:cs="Arial"/>
          <w:sz w:val="28"/>
          <w:szCs w:val="28"/>
        </w:rPr>
      </w:pPr>
      <w:r w:rsidRPr="0069429C">
        <w:rPr>
          <w:rFonts w:ascii="Arial" w:eastAsia="Times New Roman" w:hAnsi="Arial" w:cs="Arial" w:hint="cs"/>
          <w:color w:val="000000"/>
          <w:sz w:val="28"/>
          <w:szCs w:val="28"/>
          <w:rtl/>
          <w:lang w:eastAsia="fr-FR"/>
        </w:rPr>
        <w:t>نشر في شكل مفتوح المعط</w:t>
      </w:r>
      <w:r w:rsidRPr="0069429C">
        <w:rPr>
          <w:rFonts w:ascii="Arial" w:eastAsia="Times New Roman" w:hAnsi="Arial" w:cs="Arial" w:hint="cs"/>
          <w:color w:val="000000"/>
          <w:sz w:val="28"/>
          <w:szCs w:val="28"/>
          <w:rtl/>
          <w:lang w:eastAsia="fr-FR" w:bidi="ar-TN"/>
        </w:rPr>
        <w:t>ي</w:t>
      </w:r>
      <w:r w:rsidRPr="0069429C">
        <w:rPr>
          <w:rFonts w:ascii="Arial" w:eastAsia="Times New Roman" w:hAnsi="Arial" w:cs="Arial" w:hint="cs"/>
          <w:color w:val="000000"/>
          <w:sz w:val="28"/>
          <w:szCs w:val="28"/>
          <w:rtl/>
          <w:lang w:eastAsia="fr-FR"/>
        </w:rPr>
        <w:t xml:space="preserve">ات المتعلقة بإدارة الازمة الصحية المترتبة عن المرض الوبائي </w:t>
      </w:r>
      <w:r w:rsidRPr="0069429C">
        <w:rPr>
          <w:rFonts w:ascii="Arial" w:eastAsia="Times New Roman" w:hAnsi="Arial" w:cs="Arial"/>
          <w:color w:val="000000"/>
          <w:sz w:val="28"/>
          <w:szCs w:val="28"/>
          <w:lang w:eastAsia="fr-FR"/>
        </w:rPr>
        <w:t>Covid-19</w:t>
      </w:r>
      <w:r w:rsidRPr="0069429C">
        <w:rPr>
          <w:rFonts w:ascii="Arial" w:eastAsia="Times New Roman" w:hAnsi="Arial" w:cs="Arial" w:hint="cs"/>
          <w:color w:val="000000"/>
          <w:sz w:val="28"/>
          <w:szCs w:val="28"/>
          <w:rtl/>
          <w:lang w:eastAsia="fr-FR"/>
        </w:rPr>
        <w:t>،</w:t>
      </w:r>
    </w:p>
    <w:p w:rsidR="0069429C" w:rsidRPr="0069429C" w:rsidRDefault="0069429C" w:rsidP="0069429C">
      <w:pPr>
        <w:spacing w:after="160" w:line="259" w:lineRule="auto"/>
        <w:ind w:left="720"/>
        <w:contextualSpacing/>
        <w:rPr>
          <w:rFonts w:ascii="Arial" w:eastAsia="Calibri" w:hAnsi="Arial" w:cs="Arial"/>
          <w:sz w:val="28"/>
          <w:szCs w:val="28"/>
          <w:rtl/>
        </w:rPr>
      </w:pPr>
    </w:p>
    <w:p w:rsidR="0069429C" w:rsidRPr="0069429C" w:rsidRDefault="0069429C" w:rsidP="0069429C">
      <w:pPr>
        <w:numPr>
          <w:ilvl w:val="0"/>
          <w:numId w:val="4"/>
        </w:numPr>
        <w:tabs>
          <w:tab w:val="right" w:pos="992"/>
        </w:tabs>
        <w:bidi/>
        <w:spacing w:after="160" w:line="259" w:lineRule="auto"/>
        <w:contextualSpacing/>
        <w:jc w:val="both"/>
        <w:rPr>
          <w:rFonts w:ascii="Arial" w:eastAsia="Calibri" w:hAnsi="Arial" w:cs="Arial"/>
          <w:sz w:val="28"/>
          <w:szCs w:val="28"/>
          <w:rtl/>
        </w:rPr>
      </w:pPr>
      <w:proofErr w:type="gramStart"/>
      <w:r w:rsidRPr="0069429C">
        <w:rPr>
          <w:rFonts w:ascii="Arial" w:eastAsia="Calibri" w:hAnsi="Arial" w:cs="Arial" w:hint="cs"/>
          <w:sz w:val="28"/>
          <w:szCs w:val="28"/>
          <w:rtl/>
        </w:rPr>
        <w:t>العدالة</w:t>
      </w:r>
      <w:proofErr w:type="gramEnd"/>
      <w:r w:rsidRPr="0069429C">
        <w:rPr>
          <w:rFonts w:ascii="Arial" w:eastAsia="Calibri" w:hAnsi="Arial" w:cs="Arial" w:hint="cs"/>
          <w:sz w:val="28"/>
          <w:szCs w:val="28"/>
          <w:rtl/>
        </w:rPr>
        <w:t xml:space="preserve"> المفتوحة: (</w:t>
      </w:r>
      <w:r w:rsidRPr="0069429C">
        <w:rPr>
          <w:rFonts w:ascii="Arial" w:eastAsia="Calibri" w:hAnsi="Arial" w:cs="Arial"/>
          <w:sz w:val="28"/>
          <w:szCs w:val="28"/>
        </w:rPr>
        <w:t xml:space="preserve">Renforcer l'Open justice et publier les données relatives au nombre d'affaires de corruption par la justice et autres données donnant plus de </w:t>
      </w:r>
      <w:proofErr w:type="spellStart"/>
      <w:r w:rsidRPr="0069429C">
        <w:rPr>
          <w:rFonts w:ascii="Arial" w:eastAsia="Calibri" w:hAnsi="Arial" w:cs="Arial"/>
          <w:sz w:val="28"/>
          <w:szCs w:val="28"/>
        </w:rPr>
        <w:t>redevabilite</w:t>
      </w:r>
      <w:proofErr w:type="spellEnd"/>
      <w:r w:rsidRPr="0069429C">
        <w:rPr>
          <w:rFonts w:ascii="Arial" w:eastAsia="Calibri" w:hAnsi="Arial" w:cs="Arial"/>
          <w:sz w:val="28"/>
          <w:szCs w:val="28"/>
        </w:rPr>
        <w:t xml:space="preserve"> au secteur de la justice afin de lutter contre l'impunité</w:t>
      </w:r>
      <w:r w:rsidRPr="0069429C">
        <w:rPr>
          <w:rFonts w:ascii="Arial" w:eastAsia="Calibri" w:hAnsi="Arial" w:cs="Arial" w:hint="cs"/>
          <w:sz w:val="28"/>
          <w:szCs w:val="28"/>
          <w:rtl/>
        </w:rPr>
        <w:t>).</w:t>
      </w:r>
    </w:p>
    <w:p w:rsidR="0069429C" w:rsidRPr="0069429C" w:rsidRDefault="0069429C" w:rsidP="0069429C">
      <w:pPr>
        <w:bidi/>
        <w:spacing w:after="160" w:line="259" w:lineRule="auto"/>
        <w:rPr>
          <w:rFonts w:ascii="Arial" w:eastAsia="Calibri" w:hAnsi="Arial" w:cs="Arial"/>
          <w:color w:val="2F5496"/>
          <w:sz w:val="28"/>
          <w:szCs w:val="28"/>
          <w:u w:val="single"/>
          <w:rtl/>
        </w:rPr>
      </w:pPr>
      <w:proofErr w:type="spellStart"/>
      <w:r w:rsidRPr="0069429C">
        <w:rPr>
          <w:rFonts w:ascii="Arial" w:eastAsia="Calibri" w:hAnsi="Arial" w:cs="Arial"/>
          <w:b/>
          <w:bCs/>
          <w:color w:val="2F5496"/>
          <w:sz w:val="28"/>
          <w:szCs w:val="28"/>
          <w:u w:val="single"/>
          <w:rtl/>
        </w:rPr>
        <w:t>حوكمة</w:t>
      </w:r>
      <w:proofErr w:type="spellEnd"/>
      <w:r w:rsidRPr="0069429C">
        <w:rPr>
          <w:rFonts w:ascii="Arial" w:eastAsia="Calibri" w:hAnsi="Arial" w:cs="Arial"/>
          <w:b/>
          <w:bCs/>
          <w:color w:val="2F5496"/>
          <w:sz w:val="28"/>
          <w:szCs w:val="28"/>
          <w:u w:val="single"/>
          <w:rtl/>
        </w:rPr>
        <w:t xml:space="preserve"> التصرف في الثروات الطبيعية</w:t>
      </w:r>
      <w:r w:rsidRPr="0069429C">
        <w:rPr>
          <w:rFonts w:ascii="Arial" w:eastAsia="Calibri" w:hAnsi="Arial" w:cs="Arial"/>
          <w:color w:val="2F5496"/>
          <w:sz w:val="28"/>
          <w:szCs w:val="28"/>
          <w:u w:val="single"/>
          <w:rtl/>
        </w:rPr>
        <w:t>:</w:t>
      </w:r>
    </w:p>
    <w:p w:rsidR="0069429C" w:rsidRPr="0069429C" w:rsidRDefault="0069429C" w:rsidP="0069429C">
      <w:pPr>
        <w:numPr>
          <w:ilvl w:val="0"/>
          <w:numId w:val="5"/>
        </w:numPr>
        <w:bidi/>
        <w:spacing w:after="0" w:line="240"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hint="cs"/>
          <w:color w:val="000000"/>
          <w:sz w:val="28"/>
          <w:szCs w:val="28"/>
          <w:rtl/>
          <w:lang w:eastAsia="fr-FR"/>
        </w:rPr>
        <w:t>نشر المعطيات المتعلقة</w:t>
      </w:r>
      <w:r w:rsidRPr="0069429C">
        <w:rPr>
          <w:rFonts w:ascii="Arial" w:eastAsia="Times New Roman" w:hAnsi="Arial" w:cs="Arial"/>
          <w:color w:val="000000"/>
          <w:sz w:val="28"/>
          <w:szCs w:val="28"/>
          <w:rtl/>
          <w:lang w:eastAsia="fr-FR"/>
        </w:rPr>
        <w:t xml:space="preserve"> </w:t>
      </w:r>
      <w:r w:rsidRPr="0069429C">
        <w:rPr>
          <w:rFonts w:ascii="Arial" w:eastAsia="Times New Roman" w:hAnsi="Arial" w:cs="Arial" w:hint="cs"/>
          <w:color w:val="000000"/>
          <w:sz w:val="28"/>
          <w:szCs w:val="28"/>
          <w:rtl/>
          <w:lang w:eastAsia="fr-FR"/>
        </w:rPr>
        <w:t>ب</w:t>
      </w:r>
      <w:r w:rsidRPr="0069429C">
        <w:rPr>
          <w:rFonts w:ascii="Arial" w:eastAsia="Times New Roman" w:hAnsi="Arial" w:cs="Arial"/>
          <w:color w:val="000000"/>
          <w:sz w:val="28"/>
          <w:szCs w:val="28"/>
          <w:rtl/>
          <w:lang w:eastAsia="fr-FR"/>
        </w:rPr>
        <w:t xml:space="preserve">تنفيذ التعهد المتعلق بانضمام تونس لمبادرة الشفافية في مجال الصناعات الاستخراجية علما وأن منظمة أنا يقظ تقوم بنشر معطيات في هذا الخصوص عبر موقع واب قامت بتطويره بالتعاون مع معهد </w:t>
      </w:r>
      <w:proofErr w:type="spellStart"/>
      <w:r w:rsidRPr="0069429C">
        <w:rPr>
          <w:rFonts w:ascii="Arial" w:eastAsia="Times New Roman" w:hAnsi="Arial" w:cs="Arial"/>
          <w:color w:val="000000"/>
          <w:sz w:val="28"/>
          <w:szCs w:val="28"/>
          <w:rtl/>
          <w:lang w:eastAsia="fr-FR"/>
        </w:rPr>
        <w:t>حوكمة</w:t>
      </w:r>
      <w:proofErr w:type="spellEnd"/>
      <w:r w:rsidRPr="0069429C">
        <w:rPr>
          <w:rFonts w:ascii="Arial" w:eastAsia="Times New Roman" w:hAnsi="Arial" w:cs="Arial"/>
          <w:color w:val="000000"/>
          <w:sz w:val="28"/>
          <w:szCs w:val="28"/>
          <w:rtl/>
          <w:lang w:eastAsia="fr-FR"/>
        </w:rPr>
        <w:t xml:space="preserve"> الموارد الطبيعية « </w:t>
      </w:r>
      <w:r w:rsidRPr="0069429C">
        <w:rPr>
          <w:rFonts w:ascii="Arial" w:eastAsia="Times New Roman" w:hAnsi="Arial" w:cs="Arial"/>
          <w:color w:val="000000"/>
          <w:sz w:val="28"/>
          <w:szCs w:val="28"/>
          <w:lang w:eastAsia="fr-FR"/>
        </w:rPr>
        <w:t>NRGI</w:t>
      </w:r>
      <w:r w:rsidRPr="0069429C">
        <w:rPr>
          <w:rFonts w:ascii="Arial" w:eastAsia="Times New Roman" w:hAnsi="Arial" w:cs="Arial"/>
          <w:color w:val="000000"/>
          <w:sz w:val="28"/>
          <w:szCs w:val="28"/>
          <w:rtl/>
          <w:lang w:eastAsia="fr-FR"/>
        </w:rPr>
        <w:t xml:space="preserve"> » تحت عنوان   " </w:t>
      </w:r>
      <w:r w:rsidRPr="0069429C">
        <w:rPr>
          <w:rFonts w:ascii="Arial" w:eastAsia="Times New Roman" w:hAnsi="Arial" w:cs="Arial"/>
          <w:color w:val="000000"/>
          <w:sz w:val="28"/>
          <w:szCs w:val="28"/>
          <w:lang w:eastAsia="fr-FR"/>
        </w:rPr>
        <w:t>resources.tn</w:t>
      </w:r>
      <w:r w:rsidRPr="0069429C">
        <w:rPr>
          <w:rFonts w:ascii="Arial" w:eastAsia="Times New Roman" w:hAnsi="Arial" w:cs="Arial"/>
          <w:color w:val="000000"/>
          <w:sz w:val="28"/>
          <w:szCs w:val="28"/>
          <w:rtl/>
          <w:lang w:eastAsia="fr-FR"/>
        </w:rPr>
        <w:t xml:space="preserve"> "،</w:t>
      </w:r>
    </w:p>
    <w:p w:rsidR="0069429C" w:rsidRPr="0069429C" w:rsidRDefault="0069429C" w:rsidP="0069429C">
      <w:pPr>
        <w:bidi/>
        <w:spacing w:after="0" w:line="240" w:lineRule="auto"/>
        <w:ind w:left="720"/>
        <w:contextualSpacing/>
        <w:jc w:val="both"/>
        <w:rPr>
          <w:rFonts w:ascii="Arial" w:eastAsia="Times New Roman" w:hAnsi="Arial" w:cs="Arial"/>
          <w:color w:val="000000"/>
          <w:sz w:val="28"/>
          <w:szCs w:val="28"/>
          <w:rtl/>
          <w:lang w:eastAsia="fr-FR"/>
        </w:rPr>
      </w:pPr>
    </w:p>
    <w:p w:rsidR="0069429C" w:rsidRPr="0069429C" w:rsidRDefault="0069429C" w:rsidP="0069429C">
      <w:pPr>
        <w:numPr>
          <w:ilvl w:val="0"/>
          <w:numId w:val="5"/>
        </w:numPr>
        <w:bidi/>
        <w:spacing w:after="0" w:line="240" w:lineRule="auto"/>
        <w:contextualSpacing/>
        <w:jc w:val="both"/>
        <w:rPr>
          <w:rFonts w:ascii="Arial" w:eastAsia="Times New Roman" w:hAnsi="Arial" w:cs="Arial"/>
          <w:color w:val="000000"/>
          <w:sz w:val="28"/>
          <w:szCs w:val="28"/>
          <w:lang w:eastAsia="fr-FR"/>
        </w:rPr>
      </w:pPr>
      <w:r w:rsidRPr="0069429C">
        <w:rPr>
          <w:rFonts w:ascii="Arial" w:eastAsia="Times New Roman" w:hAnsi="Arial" w:cs="Arial"/>
          <w:color w:val="000000"/>
          <w:sz w:val="28"/>
          <w:szCs w:val="28"/>
          <w:rtl/>
          <w:lang w:eastAsia="fr-FR"/>
        </w:rPr>
        <w:t xml:space="preserve">التوجه ضمن الخطة الرابعة </w:t>
      </w:r>
      <w:proofErr w:type="gramStart"/>
      <w:r w:rsidRPr="0069429C">
        <w:rPr>
          <w:rFonts w:ascii="Arial" w:eastAsia="Times New Roman" w:hAnsi="Arial" w:cs="Arial"/>
          <w:color w:val="000000"/>
          <w:sz w:val="28"/>
          <w:szCs w:val="28"/>
          <w:rtl/>
          <w:lang w:eastAsia="fr-FR"/>
        </w:rPr>
        <w:t>نحو</w:t>
      </w:r>
      <w:proofErr w:type="gramEnd"/>
      <w:r w:rsidRPr="0069429C">
        <w:rPr>
          <w:rFonts w:ascii="Arial" w:eastAsia="Times New Roman" w:hAnsi="Arial" w:cs="Arial"/>
          <w:color w:val="000000"/>
          <w:sz w:val="28"/>
          <w:szCs w:val="28"/>
          <w:rtl/>
          <w:lang w:eastAsia="fr-FR"/>
        </w:rPr>
        <w:t xml:space="preserve"> </w:t>
      </w:r>
      <w:r w:rsidRPr="0069429C">
        <w:rPr>
          <w:rFonts w:ascii="Arial" w:eastAsia="Times New Roman" w:hAnsi="Arial" w:cs="Arial" w:hint="cs"/>
          <w:color w:val="000000"/>
          <w:sz w:val="28"/>
          <w:szCs w:val="28"/>
          <w:rtl/>
          <w:lang w:eastAsia="fr-FR"/>
        </w:rPr>
        <w:t>إ</w:t>
      </w:r>
      <w:r w:rsidRPr="0069429C">
        <w:rPr>
          <w:rFonts w:ascii="Arial" w:eastAsia="Times New Roman" w:hAnsi="Arial" w:cs="Arial"/>
          <w:color w:val="000000"/>
          <w:sz w:val="28"/>
          <w:szCs w:val="28"/>
          <w:rtl/>
          <w:lang w:eastAsia="fr-FR"/>
        </w:rPr>
        <w:t>دراج تعهد أو أكثر حول الطاقات المتجددة.</w:t>
      </w:r>
    </w:p>
    <w:p w:rsidR="0069429C" w:rsidRPr="0069429C" w:rsidRDefault="0069429C" w:rsidP="0069429C">
      <w:pPr>
        <w:bidi/>
        <w:spacing w:after="0" w:line="240" w:lineRule="auto"/>
        <w:rPr>
          <w:rFonts w:ascii="Arial" w:eastAsia="Times New Roman" w:hAnsi="Arial" w:cs="Arial"/>
          <w:color w:val="000000"/>
          <w:sz w:val="24"/>
          <w:szCs w:val="24"/>
          <w:lang w:eastAsia="fr-FR"/>
        </w:rPr>
      </w:pPr>
    </w:p>
    <w:p w:rsidR="0069429C" w:rsidRPr="0069429C" w:rsidRDefault="0069429C" w:rsidP="0069429C">
      <w:pPr>
        <w:bidi/>
        <w:spacing w:after="160" w:line="259" w:lineRule="auto"/>
        <w:rPr>
          <w:rFonts w:ascii="Arial" w:eastAsia="Calibri" w:hAnsi="Arial" w:cs="Arial"/>
          <w:sz w:val="28"/>
          <w:szCs w:val="28"/>
        </w:rPr>
      </w:pPr>
    </w:p>
    <w:p w:rsidR="00552C1F" w:rsidRPr="0069429C" w:rsidRDefault="00552C1F" w:rsidP="00552C1F">
      <w:pPr>
        <w:bidi/>
        <w:spacing w:line="240" w:lineRule="auto"/>
        <w:jc w:val="center"/>
        <w:rPr>
          <w:rFonts w:ascii="Traditional Arabic" w:hAnsi="Traditional Arabic" w:cs="Traditional Arabic"/>
          <w:b/>
          <w:bCs/>
          <w:color w:val="000000" w:themeColor="text1"/>
          <w:sz w:val="16"/>
          <w:szCs w:val="16"/>
          <w:rtl/>
          <w:lang w:bidi="ar-TN"/>
        </w:rPr>
      </w:pPr>
    </w:p>
    <w:sectPr w:rsidR="00552C1F" w:rsidRPr="0069429C" w:rsidSect="00163B42">
      <w:footerReference w:type="default" r:id="rId8"/>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05" w:rsidRDefault="00E25505" w:rsidP="004B72E3">
      <w:pPr>
        <w:spacing w:after="0" w:line="240" w:lineRule="auto"/>
      </w:pPr>
      <w:r>
        <w:separator/>
      </w:r>
    </w:p>
  </w:endnote>
  <w:endnote w:type="continuationSeparator" w:id="0">
    <w:p w:rsidR="00E25505" w:rsidRDefault="00E25505" w:rsidP="004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77610"/>
      <w:docPartObj>
        <w:docPartGallery w:val="Page Numbers (Bottom of Page)"/>
        <w:docPartUnique/>
      </w:docPartObj>
    </w:sdtPr>
    <w:sdtEndPr/>
    <w:sdtContent>
      <w:p w:rsidR="004B72E3" w:rsidRDefault="0034382B">
        <w:pPr>
          <w:pStyle w:val="Pieddepage"/>
          <w:jc w:val="center"/>
        </w:pPr>
        <w:r>
          <w:fldChar w:fldCharType="begin"/>
        </w:r>
        <w:r>
          <w:instrText xml:space="preserve"> PAGE   \* MERGEFORMAT </w:instrText>
        </w:r>
        <w:r>
          <w:fldChar w:fldCharType="separate"/>
        </w:r>
        <w:r w:rsidR="00B00AB4">
          <w:rPr>
            <w:noProof/>
          </w:rPr>
          <w:t>1</w:t>
        </w:r>
        <w:r>
          <w:rPr>
            <w:noProof/>
          </w:rPr>
          <w:fldChar w:fldCharType="end"/>
        </w:r>
      </w:p>
    </w:sdtContent>
  </w:sdt>
  <w:p w:rsidR="004B72E3" w:rsidRDefault="004B72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05" w:rsidRDefault="00E25505" w:rsidP="004B72E3">
      <w:pPr>
        <w:spacing w:after="0" w:line="240" w:lineRule="auto"/>
      </w:pPr>
      <w:r>
        <w:separator/>
      </w:r>
    </w:p>
  </w:footnote>
  <w:footnote w:type="continuationSeparator" w:id="0">
    <w:p w:rsidR="00E25505" w:rsidRDefault="00E25505" w:rsidP="004B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309B"/>
    <w:multiLevelType w:val="hybridMultilevel"/>
    <w:tmpl w:val="F0CEC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E632EB"/>
    <w:multiLevelType w:val="hybridMultilevel"/>
    <w:tmpl w:val="34B2F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C57604"/>
    <w:multiLevelType w:val="hybridMultilevel"/>
    <w:tmpl w:val="8E40A55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E0013F"/>
    <w:multiLevelType w:val="hybridMultilevel"/>
    <w:tmpl w:val="F0F6B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F54C55"/>
    <w:multiLevelType w:val="hybridMultilevel"/>
    <w:tmpl w:val="4E6623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1F"/>
    <w:rsid w:val="00074537"/>
    <w:rsid w:val="00077D35"/>
    <w:rsid w:val="000B3F1D"/>
    <w:rsid w:val="000C5D46"/>
    <w:rsid w:val="000D0FBC"/>
    <w:rsid w:val="000E0B50"/>
    <w:rsid w:val="000F2B8F"/>
    <w:rsid w:val="00127CD4"/>
    <w:rsid w:val="00152CDB"/>
    <w:rsid w:val="00160AAF"/>
    <w:rsid w:val="00160ECE"/>
    <w:rsid w:val="00163B42"/>
    <w:rsid w:val="0017499F"/>
    <w:rsid w:val="00176678"/>
    <w:rsid w:val="00196639"/>
    <w:rsid w:val="001B6D3A"/>
    <w:rsid w:val="0021710F"/>
    <w:rsid w:val="00251E2A"/>
    <w:rsid w:val="00283B78"/>
    <w:rsid w:val="00285C97"/>
    <w:rsid w:val="002A75F8"/>
    <w:rsid w:val="002D5349"/>
    <w:rsid w:val="00341901"/>
    <w:rsid w:val="0034382B"/>
    <w:rsid w:val="00413F15"/>
    <w:rsid w:val="00470871"/>
    <w:rsid w:val="004A19A7"/>
    <w:rsid w:val="004B72E3"/>
    <w:rsid w:val="004C099B"/>
    <w:rsid w:val="004F58A8"/>
    <w:rsid w:val="00552C1F"/>
    <w:rsid w:val="00567077"/>
    <w:rsid w:val="005950AF"/>
    <w:rsid w:val="00596043"/>
    <w:rsid w:val="00692F89"/>
    <w:rsid w:val="0069429C"/>
    <w:rsid w:val="006C2B0C"/>
    <w:rsid w:val="007C1A01"/>
    <w:rsid w:val="007C3D6A"/>
    <w:rsid w:val="007E2D1A"/>
    <w:rsid w:val="0083498C"/>
    <w:rsid w:val="008719C8"/>
    <w:rsid w:val="00893BAD"/>
    <w:rsid w:val="008E50A2"/>
    <w:rsid w:val="00952410"/>
    <w:rsid w:val="00972DFB"/>
    <w:rsid w:val="00997933"/>
    <w:rsid w:val="009B0921"/>
    <w:rsid w:val="00A454A0"/>
    <w:rsid w:val="00A71EE0"/>
    <w:rsid w:val="00B00AB4"/>
    <w:rsid w:val="00B03CD6"/>
    <w:rsid w:val="00BC4C0B"/>
    <w:rsid w:val="00C34807"/>
    <w:rsid w:val="00C37E5C"/>
    <w:rsid w:val="00C717EA"/>
    <w:rsid w:val="00C84928"/>
    <w:rsid w:val="00CB5A8A"/>
    <w:rsid w:val="00CD2E46"/>
    <w:rsid w:val="00CE0CF5"/>
    <w:rsid w:val="00D224FD"/>
    <w:rsid w:val="00D4207C"/>
    <w:rsid w:val="00D64172"/>
    <w:rsid w:val="00D80A1E"/>
    <w:rsid w:val="00D87450"/>
    <w:rsid w:val="00DD135C"/>
    <w:rsid w:val="00DD1F31"/>
    <w:rsid w:val="00E25505"/>
    <w:rsid w:val="00E8727A"/>
    <w:rsid w:val="00EA5460"/>
    <w:rsid w:val="00EC2B97"/>
    <w:rsid w:val="00F23D1D"/>
    <w:rsid w:val="00F24AEF"/>
    <w:rsid w:val="00F83BD0"/>
    <w:rsid w:val="00FA087C"/>
    <w:rsid w:val="00FC2D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dcterms:created xsi:type="dcterms:W3CDTF">2021-04-14T12:05:00Z</dcterms:created>
  <dcterms:modified xsi:type="dcterms:W3CDTF">2021-04-14T12:05:00Z</dcterms:modified>
</cp:coreProperties>
</file>