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bookmarkStart w:id="0" w:name="_GoBack"/>
      <w:bookmarkEnd w:id="0"/>
      <w:proofErr w:type="gramStart"/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الجمهورية</w:t>
      </w:r>
      <w:proofErr w:type="gramEnd"/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التونسية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رئاسة</w:t>
      </w:r>
      <w:proofErr w:type="gramEnd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 xml:space="preserve"> الحكومة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--*--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مصالح</w:t>
      </w:r>
      <w:proofErr w:type="gramEnd"/>
      <w:r w:rsidR="00163B42">
        <w:rPr>
          <w:rFonts w:eastAsia="Times New Roman" w:cs="Arabic Transparent"/>
          <w:color w:val="000000" w:themeColor="text1"/>
          <w:sz w:val="18"/>
          <w:szCs w:val="24"/>
          <w:lang w:eastAsia="fr-FR"/>
        </w:rPr>
        <w:t xml:space="preserve"> 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 w:bidi="ar-TN"/>
        </w:rPr>
        <w:t>ال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وزير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ة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لدى رئيس الحكومة 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ال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>مكلف</w:t>
      </w: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ة</w:t>
      </w:r>
      <w:r w:rsidRPr="00CF591A"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  <w:t xml:space="preserve"> بالوظيفة العمومية 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sz w:val="18"/>
          <w:szCs w:val="24"/>
          <w:rtl/>
          <w:lang w:eastAsia="fr-FR"/>
        </w:rPr>
      </w:pPr>
      <w:r w:rsidRPr="00CF591A">
        <w:rPr>
          <w:rFonts w:eastAsia="Times New Roman" w:cs="Arabic Transparent" w:hint="cs"/>
          <w:color w:val="000000" w:themeColor="text1"/>
          <w:sz w:val="18"/>
          <w:szCs w:val="24"/>
          <w:rtl/>
          <w:lang w:eastAsia="fr-FR"/>
        </w:rPr>
        <w:t>--*--</w:t>
      </w:r>
    </w:p>
    <w:p w:rsidR="00552C1F" w:rsidRPr="00CF591A" w:rsidRDefault="00552C1F" w:rsidP="00552C1F">
      <w:pPr>
        <w:keepNext/>
        <w:keepLines/>
        <w:tabs>
          <w:tab w:val="left" w:pos="-1475"/>
        </w:tabs>
        <w:overflowPunct w:val="0"/>
        <w:autoSpaceDE w:val="0"/>
        <w:autoSpaceDN w:val="0"/>
        <w:bidi/>
        <w:adjustRightInd w:val="0"/>
        <w:spacing w:after="0" w:line="240" w:lineRule="auto"/>
        <w:ind w:left="-995" w:right="6946" w:hanging="3"/>
        <w:jc w:val="center"/>
        <w:outlineLvl w:val="4"/>
        <w:rPr>
          <w:rFonts w:eastAsia="Times New Roman" w:cs="Arabic Transparent"/>
          <w:color w:val="000000" w:themeColor="text1"/>
          <w:rtl/>
          <w:lang w:eastAsia="fr-FR"/>
        </w:rPr>
      </w:pPr>
      <w:proofErr w:type="gramStart"/>
      <w:r w:rsidRPr="00CF591A">
        <w:rPr>
          <w:rFonts w:eastAsia="Times New Roman" w:cs="Arabic Transparent" w:hint="cs"/>
          <w:color w:val="000000" w:themeColor="text1"/>
          <w:rtl/>
          <w:lang w:eastAsia="fr-FR"/>
        </w:rPr>
        <w:t>وحدة</w:t>
      </w:r>
      <w:proofErr w:type="gramEnd"/>
      <w:r w:rsidRPr="00CF591A">
        <w:rPr>
          <w:rFonts w:eastAsia="Times New Roman" w:cs="Arabic Transparent" w:hint="cs"/>
          <w:color w:val="000000" w:themeColor="text1"/>
          <w:rtl/>
          <w:lang w:eastAsia="fr-FR"/>
        </w:rPr>
        <w:t xml:space="preserve"> الإدارة الإلكترونية</w:t>
      </w:r>
    </w:p>
    <w:p w:rsidR="00552C1F" w:rsidRPr="00CF591A" w:rsidRDefault="00552C1F" w:rsidP="00552C1F">
      <w:pPr>
        <w:bidi/>
        <w:ind w:left="-567"/>
        <w:rPr>
          <w:color w:val="000000" w:themeColor="text1"/>
          <w:sz w:val="14"/>
          <w:szCs w:val="14"/>
          <w:rtl/>
          <w:lang w:bidi="ar-TN"/>
        </w:rPr>
      </w:pPr>
    </w:p>
    <w:p w:rsidR="0069429C" w:rsidRPr="0069429C" w:rsidRDefault="0069429C" w:rsidP="0069429C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color w:val="2F5496"/>
          <w:sz w:val="32"/>
          <w:szCs w:val="32"/>
          <w:rtl/>
        </w:rPr>
      </w:pP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قائمة أو</w:t>
      </w:r>
      <w:r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ّ</w:t>
      </w: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لي</w:t>
      </w:r>
      <w:r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ّ</w:t>
      </w: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ة في المقترحات الممكن إدراجها ضمن الصيغة الأولية لخطة العمل الرابعة</w:t>
      </w:r>
      <w:r w:rsidRPr="0069429C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لشراكة الحكومة المفتوحة</w:t>
      </w:r>
    </w:p>
    <w:p w:rsidR="0069429C" w:rsidRPr="0069429C" w:rsidRDefault="0069429C" w:rsidP="0069429C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color w:val="2F5496"/>
          <w:sz w:val="32"/>
          <w:szCs w:val="32"/>
          <w:rtl/>
        </w:rPr>
      </w:pPr>
      <w:r w:rsidRPr="0069429C">
        <w:rPr>
          <w:rFonts w:ascii="Arial" w:eastAsia="Calibri" w:hAnsi="Arial" w:cs="Arial" w:hint="cs"/>
          <w:b/>
          <w:bCs/>
          <w:color w:val="2F5496"/>
          <w:sz w:val="32"/>
          <w:szCs w:val="32"/>
          <w:rtl/>
        </w:rPr>
        <w:t>***</w:t>
      </w:r>
    </w:p>
    <w:p w:rsidR="0069429C" w:rsidRPr="0069429C" w:rsidRDefault="0069429C" w:rsidP="00525577">
      <w:pPr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69429C">
        <w:rPr>
          <w:rFonts w:ascii="Arial" w:eastAsia="Calibri" w:hAnsi="Arial" w:cs="Arial" w:hint="cs"/>
          <w:b/>
          <w:bCs/>
          <w:color w:val="2F5496"/>
          <w:sz w:val="28"/>
          <w:szCs w:val="28"/>
          <w:rtl/>
        </w:rPr>
        <w:t xml:space="preserve">محور </w:t>
      </w:r>
      <w:proofErr w:type="spellStart"/>
      <w:r w:rsidR="00525577">
        <w:rPr>
          <w:rFonts w:ascii="Arial" w:eastAsia="Calibri" w:hAnsi="Arial" w:cs="Arial" w:hint="cs"/>
          <w:b/>
          <w:bCs/>
          <w:color w:val="2F5496"/>
          <w:sz w:val="28"/>
          <w:szCs w:val="28"/>
          <w:rtl/>
        </w:rPr>
        <w:t>رقمنة</w:t>
      </w:r>
      <w:proofErr w:type="spellEnd"/>
      <w:r w:rsidR="00525577">
        <w:rPr>
          <w:rFonts w:ascii="Arial" w:eastAsia="Calibri" w:hAnsi="Arial" w:cs="Arial" w:hint="cs"/>
          <w:b/>
          <w:bCs/>
          <w:color w:val="2F5496"/>
          <w:sz w:val="28"/>
          <w:szCs w:val="28"/>
          <w:rtl/>
        </w:rPr>
        <w:t xml:space="preserve"> الخدمات الإداريّة</w:t>
      </w:r>
    </w:p>
    <w:p w:rsidR="0069429C" w:rsidRPr="0069429C" w:rsidRDefault="0069429C" w:rsidP="0069429C">
      <w:pPr>
        <w:bidi/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15864" w:type="dxa"/>
        <w:tblInd w:w="-434" w:type="dxa"/>
        <w:tblLook w:val="04A0" w:firstRow="1" w:lastRow="0" w:firstColumn="1" w:lastColumn="0" w:noHBand="0" w:noVBand="1"/>
      </w:tblPr>
      <w:tblGrid>
        <w:gridCol w:w="1432"/>
        <w:gridCol w:w="10179"/>
        <w:gridCol w:w="4253"/>
      </w:tblGrid>
      <w:tr w:rsidR="00525577" w:rsidRPr="00525577" w:rsidTr="00CB2000">
        <w:trPr>
          <w:trHeight w:val="271"/>
        </w:trPr>
        <w:tc>
          <w:tcPr>
            <w:tcW w:w="15864" w:type="dxa"/>
            <w:gridSpan w:val="3"/>
            <w:shd w:val="clear" w:color="auto" w:fill="C6D9F1" w:themeFill="text2" w:themeFillTint="33"/>
          </w:tcPr>
          <w:p w:rsidR="00525577" w:rsidRPr="00525577" w:rsidRDefault="00525577" w:rsidP="00525577">
            <w:pPr>
              <w:bidi/>
              <w:spacing w:before="240" w:after="240"/>
              <w:jc w:val="center"/>
              <w:outlineLvl w:val="0"/>
              <w:rPr>
                <w:rFonts w:ascii="Calibri" w:eastAsiaTheme="minorHAnsi" w:hAnsi="Calibri"/>
                <w:b/>
                <w:bCs/>
                <w:color w:val="000000"/>
                <w:sz w:val="40"/>
                <w:szCs w:val="40"/>
                <w:rtl/>
              </w:rPr>
            </w:pPr>
            <w:r w:rsidRPr="00525577">
              <w:rPr>
                <w:rFonts w:ascii="Calibri" w:eastAsiaTheme="minorHAnsi" w:hAnsi="Calibri" w:hint="cs"/>
                <w:b/>
                <w:bCs/>
                <w:color w:val="000000"/>
                <w:sz w:val="40"/>
                <w:szCs w:val="40"/>
                <w:rtl/>
              </w:rPr>
              <w:t xml:space="preserve">قائمة المقترحات التي </w:t>
            </w:r>
            <w:proofErr w:type="gramStart"/>
            <w:r w:rsidRPr="00525577">
              <w:rPr>
                <w:rFonts w:ascii="Calibri" w:eastAsiaTheme="minorHAnsi" w:hAnsi="Calibri" w:hint="cs"/>
                <w:b/>
                <w:bCs/>
                <w:color w:val="000000"/>
                <w:sz w:val="40"/>
                <w:szCs w:val="40"/>
                <w:rtl/>
              </w:rPr>
              <w:t>تم</w:t>
            </w:r>
            <w:proofErr w:type="gramEnd"/>
            <w:r w:rsidRPr="00525577">
              <w:rPr>
                <w:rFonts w:ascii="Calibri" w:eastAsiaTheme="minorHAnsi" w:hAnsi="Calibri" w:hint="cs"/>
                <w:b/>
                <w:bCs/>
                <w:color w:val="000000"/>
                <w:sz w:val="40"/>
                <w:szCs w:val="40"/>
                <w:rtl/>
              </w:rPr>
              <w:t xml:space="preserve"> اختيارها بصفة أولية </w:t>
            </w:r>
          </w:p>
        </w:tc>
      </w:tr>
      <w:tr w:rsidR="00525577" w:rsidRPr="00525577" w:rsidTr="00CB2000">
        <w:trPr>
          <w:trHeight w:val="697"/>
        </w:trPr>
        <w:tc>
          <w:tcPr>
            <w:tcW w:w="1432" w:type="dxa"/>
            <w:shd w:val="clear" w:color="auto" w:fill="DBE5F1" w:themeFill="accent1" w:themeFillTint="33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before="240" w:line="360" w:lineRule="auto"/>
              <w:ind w:left="720"/>
              <w:contextualSpacing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10179" w:type="dxa"/>
            <w:shd w:val="clear" w:color="auto" w:fill="DBE5F1" w:themeFill="accent1" w:themeFillTint="33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before="240"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المقترح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before="240" w:line="36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  <w:lang w:bidi="ar-TN"/>
              </w:rPr>
              <w:t>ملاحظات</w:t>
            </w:r>
          </w:p>
        </w:tc>
      </w:tr>
      <w:tr w:rsidR="00525577" w:rsidRPr="00525577" w:rsidTr="00CB2000">
        <w:trPr>
          <w:trHeight w:val="271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رقمنة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الخدمة المتعلقة بالحصول على رخصة بناء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</w:p>
        </w:tc>
      </w:tr>
      <w:tr w:rsidR="00525577" w:rsidRPr="00525577" w:rsidTr="00CB2000">
        <w:trPr>
          <w:trHeight w:val="333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Paiement des taxes locales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  <w:t>وجود مشروع في طور الانجاز + استعماله من طرف عدد من البلديات</w:t>
            </w:r>
          </w:p>
        </w:tc>
      </w:tr>
      <w:tr w:rsidR="00525577" w:rsidRPr="00525577" w:rsidTr="00CB2000">
        <w:trPr>
          <w:trHeight w:val="333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تطوير بوابة موحدة للنفاذ للخدمات الادارية بصفة مندمجة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838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إحداث دليل رقمي للهياكل العمومية يتضمن البيانات المكانية والجغرافية للمصالح العمومية على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br/>
              <w:t>الخرائط والخدمات التي توفرها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380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تطوير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تطبيقة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للترسيم بالتكوين ودفع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معاليم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التسجيل بالامتحانات على الخط (المدرسة الوطنية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lastRenderedPageBreak/>
              <w:t>للادارة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)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1137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وضع خدمات على الخط تهم الديوان الوطني للملكية العقارية وتضم الختم الالكتروني والامضاء الالكتروني. وتضم هذه الخدمات الحصول على نسخة مجردة من رسوم عقارية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وشهائد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الترسيم،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شهائد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الملكية،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شهائد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الاشتراك في الملكية،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شهائد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الاستقصاء حول رسوم عقارية،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شهائد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مراجع تسجيل صك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813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تعميم استعمال المنظومة الالكترونية "ء-مواطن" بكافة مكاتب العلاقات مع المواطن بالوزارات وبالولايات وببعض المؤسسات والمنشآت العمومية </w:t>
            </w: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والبلديات</w:t>
            </w:r>
            <w:proofErr w:type="gramEnd"/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77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تطوير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منظومة الحج عبر تركيز قاعدة الكترونية للتسجيل عن بعد كآلية لتكريس الشفافية ونشر المعطيات المتاحة وتيسير المتابعة والمراقبة والتقييم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82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تطوير الخدمات القنصلية عن بعد بالنسبة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للبعائث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الراجعة بالنظر للوزارة بالخارج من خلال تركيز منظومة الخدمات القنصلية عن بعد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e-consulat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يقترح تحديد الخدمات التي سيتم العمل عليها</w:t>
            </w:r>
          </w:p>
        </w:tc>
      </w:tr>
      <w:tr w:rsidR="00525577" w:rsidRPr="00525577" w:rsidTr="00CB2000">
        <w:trPr>
          <w:trHeight w:val="556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منظومة خلاص على الخط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لمعاليم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استغلال الملك العمومي للمياه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21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وضع منصة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لرقمنة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تراخيص تعاطي الانشطة الاقتصادية المدرجة بالأمر الحكومي عدد 417 لسنة 2018 وكراسات شروط ممارسة الانشطة الاقتصادية الجاري بها العمل واجراءات وآجال اسنادها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1167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تطوير عدد من الخدمات الادارية على غرار ايداع ومعالجة مطالب الحصول على بطاقات الاقامة بالنسبة للمستثمرين الاجانب واجراءات الانخراط بنظام الضمان الاجتماعي واجراءات الحصول على المعرف الديواني- الهيئة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التونسية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للاستثمار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يقترح تحديد الخدمات التي سيتم العمل عليها</w:t>
            </w:r>
          </w:p>
        </w:tc>
      </w:tr>
      <w:tr w:rsidR="00525577" w:rsidRPr="00525577" w:rsidTr="00CB2000">
        <w:trPr>
          <w:trHeight w:val="911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احداث ثلاثة أنظمة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modules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ضمن النظام المعلوماتي لبرنامج الأمان الاجتماعي لتحسين عدد من الخدمات المسداة.... – وزارة الشؤون الاجتماعية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يقترح مزيد تفاصيل حول هذه الانظمة وفوائدها</w:t>
            </w:r>
          </w:p>
        </w:tc>
      </w:tr>
      <w:tr w:rsidR="00525577" w:rsidRPr="00525577" w:rsidTr="00CB2000">
        <w:trPr>
          <w:trHeight w:val="600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hideMark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مشروع حوسبة شبكة المكتبات العمومية من خلال ارساء نظام معلومات متكامل لاستعمال التقنيات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lastRenderedPageBreak/>
              <w:t>الحديثة في عمل المكتبات  - وزارة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الشؤون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الثقافية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lastRenderedPageBreak/>
              <w:t xml:space="preserve">يقترح </w:t>
            </w: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مزيد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تفاصيل حول هذا المشروع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انفتاح الإدارة على المتعاملين معها: تطوير منظومة "سليمة" التي تسهل نفاذ الطلبة إلى المعلومة المتعلقة بالمسار </w:t>
            </w:r>
            <w:proofErr w:type="spell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الجامعي+العمل</w:t>
            </w:r>
            <w:proofErr w:type="spell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على تفعيل المعرف القطاعي للطالب+</w:t>
            </w:r>
          </w:p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انضمام وزارة التعليم العالي إلى المشروع الوطني الخاص ببوابة وطنية موحدة للخدمات الإدارية الموجهة </w:t>
            </w:r>
            <w:proofErr w:type="gram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للمواطن  من</w:t>
            </w:r>
            <w:proofErr w:type="gram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خلال إدراج مجموعة من المنظومات (التسجيل الجامعي عن بعد....)+ </w:t>
            </w:r>
          </w:p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تعميم استعمال المنظومات الوطنية بمختلف المؤسسات العمومية وتفعيل لامركزية التصرف الإداري والمالي   + تطوير الخدمات باستعمال تكنولوجيات الهاتف المحمول لمختلف المتعاملين مع الإدارة (طلبة، أساتذة، إدارة)+ الانخراط في منظومة الترابط البيني بين نظم المعلومات لتبادل المعلومات عبر الخدمات المندمجة (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SERVICES WEB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)+ تحيين مواقع الجامعات بتعزيز الخدمات الإدارية الإلكترونية الموجهة للمتعاملين معها من خلال إرساء أربع منصات </w:t>
            </w:r>
            <w:proofErr w:type="spell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إلكترونية+احداث</w:t>
            </w:r>
            <w:proofErr w:type="spell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خدمات إضافية لمنظومة التصرف لحوسبة المكتبات الجامعية "</w:t>
            </w:r>
            <w:proofErr w:type="spell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بيروني"+تركيز</w:t>
            </w:r>
            <w:proofErr w:type="spell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منصة الكترونية لفض النزاعات في الوسط الجامعي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يقترح </w:t>
            </w: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مزيد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تفاصيل حول هذا المشروع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  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  <w:lang w:bidi="ar-TN"/>
              </w:rPr>
              <w:t>وتحديد عدد من الخدمات التي يمكن التركيز عليها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نشر </w:t>
            </w:r>
            <w:proofErr w:type="spell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تطبيقة</w:t>
            </w:r>
            <w:proofErr w:type="spell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هاتف ذكي تمكن من رصد و متابعة المخالفات البيئية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</w:pPr>
            <w:r w:rsidRPr="00525577"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  <w:t>الديوان الوطني للتطهير</w:t>
            </w:r>
          </w:p>
          <w:p w:rsidR="00525577" w:rsidRPr="00525577" w:rsidRDefault="00525577" w:rsidP="00525577">
            <w:pPr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-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Réception et traitement des réclamations et suivi de leur état (possibilité de fusion avec 58)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br/>
              <w:t xml:space="preserve">-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Demande de branchement et établissement des attestations relatives au</w:t>
            </w:r>
            <w:r w:rsidRPr="00525577">
              <w:rPr>
                <w:rFonts w:asciiTheme="minorBidi" w:eastAsiaTheme="minorHAnsi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branchement d’un site, d’un terrain ou d’un immeuble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br/>
              <w:t xml:space="preserve">-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Convention pour le déversement des eaux usées dans le réseau</w:t>
            </w:r>
            <w:r w:rsidRPr="00525577">
              <w:rPr>
                <w:rFonts w:asciiTheme="minorBidi" w:eastAsiaTheme="minorHAnsi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 xml:space="preserve">d’assainissement avec les vidangeurs de fausses septiques, les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lastRenderedPageBreak/>
              <w:t>industriels et</w:t>
            </w:r>
            <w:r w:rsidRPr="00525577">
              <w:rPr>
                <w:rFonts w:asciiTheme="minorBidi" w:eastAsiaTheme="minorHAnsi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les réseaux d’assainissement privés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spacing w:line="276" w:lineRule="auto"/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</w:pPr>
            <w:proofErr w:type="gramStart"/>
            <w:r w:rsidRPr="00525577"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  <w:t>الوكالة</w:t>
            </w:r>
            <w:proofErr w:type="gramEnd"/>
            <w:r w:rsidRPr="00525577"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  <w:t xml:space="preserve"> الوطنية للتصرف في النفايات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br/>
              <w:t>1-      تركيز منظومة خلاص عن بعد عن طريق الموقع الإلكتروني الخاص بالوكالة،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br/>
              <w:t>2-      تركيز منظومة مراقبة عن بعد ودمجها مع منظومة التصرّف في النفايات المنزلية والمشابهة</w:t>
            </w:r>
          </w:p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3 -      تطوير وتبسيط الخدمات على الخط </w:t>
            </w:r>
            <w:proofErr w:type="gram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الموضوعة</w:t>
            </w:r>
            <w:proofErr w:type="gram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على ذمة المواطنين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b/>
                <w:bCs/>
                <w:color w:val="963634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836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tabs>
                <w:tab w:val="left" w:pos="2019"/>
              </w:tabs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Dépôt de demandes de subvention</w:t>
            </w:r>
          </w:p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after="160"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يقترح مزيد تفاصيل حول هذا المشروع من طرف سي زياد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البلاجي</w:t>
            </w:r>
            <w:proofErr w:type="spellEnd"/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Prise de rendez-vous en ligne dans les hôpitaux</w:t>
            </w:r>
          </w:p>
          <w:p w:rsidR="00525577" w:rsidRPr="00525577" w:rsidRDefault="00525577" w:rsidP="00525577">
            <w:pPr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  <w:p w:rsidR="00525577" w:rsidRPr="00525577" w:rsidRDefault="00525577" w:rsidP="00525577">
            <w:pPr>
              <w:bidi/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25577" w:rsidRPr="00525577" w:rsidTr="00CB2000">
        <w:trPr>
          <w:trHeight w:val="649"/>
        </w:trPr>
        <w:tc>
          <w:tcPr>
            <w:tcW w:w="15864" w:type="dxa"/>
            <w:gridSpan w:val="3"/>
            <w:shd w:val="clear" w:color="auto" w:fill="C6D9F1" w:themeFill="text2" w:themeFillTint="33"/>
          </w:tcPr>
          <w:p w:rsidR="00525577" w:rsidRPr="00525577" w:rsidRDefault="00525577" w:rsidP="00525577">
            <w:pPr>
              <w:bidi/>
              <w:spacing w:line="276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مقترحات</w:t>
            </w:r>
            <w:proofErr w:type="gramEnd"/>
            <w:r w:rsidRPr="00525577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  <w:t xml:space="preserve"> إضافية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إنشاء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بوابة بيانات مفتوحة تتعلق بقطاع العدالة و المحاكم لتسهيل الحصول على الخدمات من طرف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مهنيي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القطاع في مرحلة أولى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إنشاء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تطبيقة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الكترونية خاصة بقسم التظلم يسمح لكافة المتعاملين مع الادارة من تقديم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عرائضهم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واستفساراتهم حول الانفاق العمومي لدى الهيئة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العامة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لمراقبة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المصاريف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العمومية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وجود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تطبيقة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مماثلة في هيئة المتابعة الراجعة بالنظر لرئاسة الحكومة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اعتماد منظومة المصادقة الالكترونية 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QRCCODE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على الوثائق الخاصة بالمنح والقروض الفلاحية لفائدة المستثمرين</w:t>
            </w:r>
          </w:p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تعميم خدمة الارساليات القصيرة عن طريق منظومة القروض والمنح الفلاحية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تحديد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هل أنه سيتم وضع خدمة على الخط أم فقط وضع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>qrcode</w:t>
            </w:r>
            <w:proofErr w:type="spellEnd"/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اعتماد منصة رقمية خاصة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بالارشاد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والتكوين عن بعد لفائدة وكالة الارشاد والتكوين الفلاحي وتبادل المعطيات بين الهياكل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  <w:t>يقترح التثبت إن كان سيتم وضع خدمات على الخط أم فقط منصة اعلامية</w:t>
            </w:r>
          </w:p>
        </w:tc>
      </w:tr>
      <w:tr w:rsidR="00525577" w:rsidRPr="00525577" w:rsidTr="00CB2000">
        <w:trPr>
          <w:trHeight w:val="423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</w:pP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تطبيقة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الماء ذهب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تم </w:t>
            </w: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وضع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  <w:lang w:bidi="ar-TN"/>
              </w:rPr>
              <w:t>المشروع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في الخطة الثالثة</w:t>
            </w:r>
          </w:p>
        </w:tc>
      </w:tr>
      <w:tr w:rsidR="00525577" w:rsidRPr="00525577" w:rsidTr="00CB2000">
        <w:trPr>
          <w:trHeight w:val="952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تطوير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بوابة خاصة بمتابعة مواسم تجميع الحبوب المحلية من حيث الكميات المجمعة والمتداولة حسب المجمع والولاية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مراجعة هذا المقترح ضمن المحور الاول الخاص بالشفافية 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ارساء الترابط البيني بين الهياكل المعنية بالاستثمار واندماج انظمتها المعلوماتية- الهيئة التونسية للاستثمار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يقترح تحديد الاهداف المنتظر تحقيقها من هذا المشروع</w:t>
            </w:r>
          </w:p>
        </w:tc>
      </w:tr>
      <w:tr w:rsidR="00525577" w:rsidRPr="00525577" w:rsidTr="00CB2000">
        <w:trPr>
          <w:trHeight w:val="427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تنفيذ</w:t>
            </w:r>
            <w:proofErr w:type="gram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مشاريع نموذجية للذكاء الاصطناعي في القطاع العموم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tabs>
                <w:tab w:val="left" w:pos="2019"/>
              </w:tabs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shd w:val="clear" w:color="auto" w:fill="FFFFFF"/>
              <w:bidi/>
              <w:spacing w:line="276" w:lineRule="auto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  <w:lang w:bidi="ar-TN"/>
              </w:rPr>
            </w:pP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دعم الشفافية من خلال تسويق المقاسم </w:t>
            </w: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الصناعية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للوكالة العقارية الصناعية على الخط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shd w:val="clear" w:color="auto" w:fill="FFFFFF"/>
              <w:bidi/>
              <w:spacing w:line="276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مزيد</w:t>
            </w:r>
            <w:proofErr w:type="gram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تفاصيل حول المشروع</w:t>
            </w:r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</w:rPr>
              <w:t xml:space="preserve">  </w:t>
            </w:r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  <w:lang w:bidi="ar-TN"/>
              </w:rPr>
              <w:t>وتحديد الخدمات التي يمكن التركيز عليها</w:t>
            </w:r>
          </w:p>
        </w:tc>
      </w:tr>
      <w:tr w:rsidR="00525577" w:rsidRPr="00525577" w:rsidTr="00CB2000">
        <w:trPr>
          <w:trHeight w:val="649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</w:pPr>
            <w:proofErr w:type="spellStart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حوكمة</w:t>
            </w:r>
            <w:proofErr w:type="spellEnd"/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 البيداغوجيا: مشروع منظومة سحابية وطنية موحدة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Cloud National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للتعلم عن بعد+</w:t>
            </w:r>
            <w:r w:rsidRPr="00525577">
              <w:rPr>
                <w:rFonts w:asciiTheme="minorBidi" w:eastAsiaTheme="minorHAnsi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 xml:space="preserve">مشروع فضاء عمل رقمي موحد 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</w:rPr>
              <w:t>ENT</w:t>
            </w:r>
            <w:r w:rsidRPr="00525577"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  <w:t>على مستوى جامعة تونس الافتراضية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line="276" w:lineRule="auto"/>
              <w:rPr>
                <w:rFonts w:asciiTheme="minorBidi" w:eastAsiaTheme="minorHAnsi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  <w:tr w:rsidR="00525577" w:rsidRPr="00525577" w:rsidTr="00CB2000">
        <w:trPr>
          <w:trHeight w:val="461"/>
        </w:trPr>
        <w:tc>
          <w:tcPr>
            <w:tcW w:w="1432" w:type="dxa"/>
          </w:tcPr>
          <w:p w:rsidR="00525577" w:rsidRPr="00525577" w:rsidRDefault="00525577" w:rsidP="00525577">
            <w:pPr>
              <w:numPr>
                <w:ilvl w:val="0"/>
                <w:numId w:val="2"/>
              </w:numPr>
              <w:tabs>
                <w:tab w:val="left" w:pos="2019"/>
              </w:tabs>
              <w:bidi/>
              <w:spacing w:line="276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0179" w:type="dxa"/>
            <w:vAlign w:val="bottom"/>
          </w:tcPr>
          <w:p w:rsidR="00525577" w:rsidRPr="00525577" w:rsidRDefault="00525577" w:rsidP="00525577">
            <w:pPr>
              <w:bidi/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إستكمال</w:t>
            </w:r>
            <w:proofErr w:type="spellEnd"/>
            <w:r w:rsidRPr="00525577">
              <w:rPr>
                <w:rFonts w:asciiTheme="minorBidi" w:eastAsia="Times New Roman" w:hAnsiTheme="minorBidi" w:cstheme="minorBidi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>رقمنة</w:t>
            </w:r>
            <w:proofErr w:type="spellEnd"/>
            <w:r w:rsidRPr="00525577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  <w:t xml:space="preserve"> مسار أرشفة المعطيات والوثائق</w:t>
            </w:r>
          </w:p>
        </w:tc>
        <w:tc>
          <w:tcPr>
            <w:tcW w:w="4253" w:type="dxa"/>
          </w:tcPr>
          <w:p w:rsidR="00525577" w:rsidRPr="00525577" w:rsidRDefault="00525577" w:rsidP="00525577">
            <w:pPr>
              <w:bidi/>
              <w:spacing w:after="160" w:line="276" w:lineRule="auto"/>
              <w:jc w:val="both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rtl/>
              </w:rPr>
            </w:pPr>
          </w:p>
        </w:tc>
      </w:tr>
    </w:tbl>
    <w:p w:rsidR="00552C1F" w:rsidRPr="00525577" w:rsidRDefault="00552C1F" w:rsidP="00552C1F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16"/>
          <w:szCs w:val="16"/>
          <w:rtl/>
          <w:lang w:bidi="ar-TN"/>
        </w:rPr>
      </w:pPr>
    </w:p>
    <w:sectPr w:rsidR="00552C1F" w:rsidRPr="00525577" w:rsidSect="00525577">
      <w:footerReference w:type="default" r:id="rId8"/>
      <w:pgSz w:w="16838" w:h="11906" w:orient="landscape"/>
      <w:pgMar w:top="1418" w:right="56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85" w:rsidRDefault="009E1485" w:rsidP="004B72E3">
      <w:pPr>
        <w:spacing w:after="0" w:line="240" w:lineRule="auto"/>
      </w:pPr>
      <w:r>
        <w:separator/>
      </w:r>
    </w:p>
  </w:endnote>
  <w:endnote w:type="continuationSeparator" w:id="0">
    <w:p w:rsidR="009E1485" w:rsidRDefault="009E1485" w:rsidP="004B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6658"/>
      <w:docPartObj>
        <w:docPartGallery w:val="Page Numbers (Bottom of Page)"/>
        <w:docPartUnique/>
      </w:docPartObj>
    </w:sdtPr>
    <w:sdtEndPr/>
    <w:sdtContent>
      <w:p w:rsidR="004B72E3" w:rsidRDefault="0034382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0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2E3" w:rsidRDefault="004B72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85" w:rsidRDefault="009E1485" w:rsidP="004B72E3">
      <w:pPr>
        <w:spacing w:after="0" w:line="240" w:lineRule="auto"/>
      </w:pPr>
      <w:r>
        <w:separator/>
      </w:r>
    </w:p>
  </w:footnote>
  <w:footnote w:type="continuationSeparator" w:id="0">
    <w:p w:rsidR="009E1485" w:rsidRDefault="009E1485" w:rsidP="004B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09B"/>
    <w:multiLevelType w:val="hybridMultilevel"/>
    <w:tmpl w:val="F0CEC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2EB"/>
    <w:multiLevelType w:val="hybridMultilevel"/>
    <w:tmpl w:val="34B2F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604"/>
    <w:multiLevelType w:val="hybridMultilevel"/>
    <w:tmpl w:val="8E40A55A"/>
    <w:lvl w:ilvl="0" w:tplc="FA5A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0013F"/>
    <w:multiLevelType w:val="hybridMultilevel"/>
    <w:tmpl w:val="F0F6B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54C55"/>
    <w:multiLevelType w:val="hybridMultilevel"/>
    <w:tmpl w:val="4E6623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1F"/>
    <w:rsid w:val="00074537"/>
    <w:rsid w:val="00077D35"/>
    <w:rsid w:val="000B3F1D"/>
    <w:rsid w:val="000C5D46"/>
    <w:rsid w:val="000D0FBC"/>
    <w:rsid w:val="000E0B50"/>
    <w:rsid w:val="000F2B8F"/>
    <w:rsid w:val="00127CD4"/>
    <w:rsid w:val="00152CDB"/>
    <w:rsid w:val="00160AAF"/>
    <w:rsid w:val="00160ECE"/>
    <w:rsid w:val="00163B42"/>
    <w:rsid w:val="0017499F"/>
    <w:rsid w:val="00176678"/>
    <w:rsid w:val="00196639"/>
    <w:rsid w:val="001B6D3A"/>
    <w:rsid w:val="0021710F"/>
    <w:rsid w:val="00251E2A"/>
    <w:rsid w:val="00283B78"/>
    <w:rsid w:val="00285C97"/>
    <w:rsid w:val="002A75F8"/>
    <w:rsid w:val="002D5349"/>
    <w:rsid w:val="00341901"/>
    <w:rsid w:val="0034382B"/>
    <w:rsid w:val="00413F15"/>
    <w:rsid w:val="00470871"/>
    <w:rsid w:val="004A19A7"/>
    <w:rsid w:val="004B72E3"/>
    <w:rsid w:val="004C099B"/>
    <w:rsid w:val="004F58A8"/>
    <w:rsid w:val="00525577"/>
    <w:rsid w:val="00552C1F"/>
    <w:rsid w:val="00567077"/>
    <w:rsid w:val="005950AF"/>
    <w:rsid w:val="00596043"/>
    <w:rsid w:val="00692F89"/>
    <w:rsid w:val="0069429C"/>
    <w:rsid w:val="006C2B0C"/>
    <w:rsid w:val="007C1A01"/>
    <w:rsid w:val="007C3D6A"/>
    <w:rsid w:val="007E2D1A"/>
    <w:rsid w:val="0083498C"/>
    <w:rsid w:val="008719C8"/>
    <w:rsid w:val="00893BAD"/>
    <w:rsid w:val="008E50A2"/>
    <w:rsid w:val="00952410"/>
    <w:rsid w:val="00972DFB"/>
    <w:rsid w:val="00997933"/>
    <w:rsid w:val="009E1485"/>
    <w:rsid w:val="00A454A0"/>
    <w:rsid w:val="00A71EE0"/>
    <w:rsid w:val="00B03CD6"/>
    <w:rsid w:val="00BC4C0B"/>
    <w:rsid w:val="00C34807"/>
    <w:rsid w:val="00C37E5C"/>
    <w:rsid w:val="00C717EA"/>
    <w:rsid w:val="00C84928"/>
    <w:rsid w:val="00CB2000"/>
    <w:rsid w:val="00CB5A8A"/>
    <w:rsid w:val="00CD2E46"/>
    <w:rsid w:val="00CE0CF5"/>
    <w:rsid w:val="00D224FD"/>
    <w:rsid w:val="00D4207C"/>
    <w:rsid w:val="00D64172"/>
    <w:rsid w:val="00D80A1E"/>
    <w:rsid w:val="00D87450"/>
    <w:rsid w:val="00DD135C"/>
    <w:rsid w:val="00DD1F31"/>
    <w:rsid w:val="00E8727A"/>
    <w:rsid w:val="00EA5460"/>
    <w:rsid w:val="00EC2B97"/>
    <w:rsid w:val="00F23D1D"/>
    <w:rsid w:val="00F24AEF"/>
    <w:rsid w:val="00F83BD0"/>
    <w:rsid w:val="00FA087C"/>
    <w:rsid w:val="00FC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1F"/>
    <w:rPr>
      <w:rFonts w:ascii="Times New Roman" w:eastAsia="SimSu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C1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5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C2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1F31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0ECE"/>
    <w:rPr>
      <w:rFonts w:ascii="Tahoma" w:eastAsia="SimSun" w:hAnsi="Tahoma" w:cs="Tahoma"/>
      <w:sz w:val="16"/>
      <w:szCs w:val="16"/>
    </w:rPr>
  </w:style>
  <w:style w:type="table" w:customStyle="1" w:styleId="TableGrid">
    <w:name w:val="TableGrid"/>
    <w:rsid w:val="0034190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72E3"/>
    <w:rPr>
      <w:rFonts w:ascii="Times New Roman" w:eastAsia="SimSu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E3"/>
    <w:rPr>
      <w:rFonts w:ascii="Times New Roman" w:eastAsia="SimSu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1F"/>
    <w:rPr>
      <w:rFonts w:ascii="Times New Roman" w:eastAsia="SimSu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C1F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5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C2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1F31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60ECE"/>
    <w:rPr>
      <w:rFonts w:ascii="Tahoma" w:eastAsia="SimSun" w:hAnsi="Tahoma" w:cs="Tahoma"/>
      <w:sz w:val="16"/>
      <w:szCs w:val="16"/>
    </w:rPr>
  </w:style>
  <w:style w:type="table" w:customStyle="1" w:styleId="TableGrid">
    <w:name w:val="TableGrid"/>
    <w:rsid w:val="0034190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72E3"/>
    <w:rPr>
      <w:rFonts w:ascii="Times New Roman" w:eastAsia="SimSu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B7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2E3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Gharbi Sonia</dc:creator>
  <cp:lastModifiedBy>saoussan moalla</cp:lastModifiedBy>
  <cp:revision>2</cp:revision>
  <dcterms:created xsi:type="dcterms:W3CDTF">2021-04-14T11:35:00Z</dcterms:created>
  <dcterms:modified xsi:type="dcterms:W3CDTF">2021-04-14T11:35:00Z</dcterms:modified>
</cp:coreProperties>
</file>